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E4D55" w14:textId="77777777" w:rsidR="00F13514" w:rsidRDefault="00F13514" w:rsidP="00563133">
      <w:pPr>
        <w:spacing w:before="120" w:after="0" w:line="288" w:lineRule="auto"/>
        <w:jc w:val="center"/>
        <w:rPr>
          <w:rFonts w:ascii="Arial" w:eastAsia="Times New Roman" w:hAnsi="Arial" w:cs="Arial"/>
          <w:b/>
          <w:bCs/>
          <w:color w:val="514B64"/>
          <w:sz w:val="44"/>
          <w:szCs w:val="44"/>
        </w:rPr>
      </w:pPr>
      <w:bookmarkStart w:id="0" w:name="_Toc338942979"/>
      <w:bookmarkStart w:id="1" w:name="_Toc345677695"/>
      <w:bookmarkStart w:id="2" w:name="_Toc346705489"/>
    </w:p>
    <w:p w14:paraId="5D098800" w14:textId="77777777" w:rsidR="00F13514" w:rsidRDefault="00F13514" w:rsidP="00563133">
      <w:pPr>
        <w:spacing w:before="120" w:after="0" w:line="288" w:lineRule="auto"/>
        <w:jc w:val="center"/>
        <w:rPr>
          <w:rFonts w:ascii="Arial" w:eastAsia="Times New Roman" w:hAnsi="Arial" w:cs="Arial"/>
          <w:b/>
          <w:bCs/>
          <w:color w:val="514B64"/>
          <w:sz w:val="44"/>
          <w:szCs w:val="44"/>
        </w:rPr>
      </w:pPr>
    </w:p>
    <w:p w14:paraId="51B344D6" w14:textId="77777777" w:rsidR="00F13514" w:rsidRDefault="00F13514" w:rsidP="00563133">
      <w:pPr>
        <w:spacing w:before="120" w:after="0" w:line="288" w:lineRule="auto"/>
        <w:jc w:val="center"/>
        <w:rPr>
          <w:rFonts w:ascii="Arial" w:eastAsia="Times New Roman" w:hAnsi="Arial" w:cs="Arial"/>
          <w:b/>
          <w:bCs/>
          <w:color w:val="514B64"/>
          <w:sz w:val="44"/>
          <w:szCs w:val="44"/>
        </w:rPr>
      </w:pPr>
    </w:p>
    <w:p w14:paraId="6564A19A" w14:textId="77777777" w:rsidR="00F13514" w:rsidRDefault="00F13514" w:rsidP="00563133">
      <w:pPr>
        <w:spacing w:before="120" w:after="0" w:line="288" w:lineRule="auto"/>
        <w:jc w:val="center"/>
        <w:rPr>
          <w:rFonts w:ascii="Arial" w:eastAsia="Times New Roman" w:hAnsi="Arial" w:cs="Arial"/>
          <w:b/>
          <w:bCs/>
          <w:color w:val="514B64"/>
          <w:sz w:val="44"/>
          <w:szCs w:val="44"/>
        </w:rPr>
      </w:pPr>
    </w:p>
    <w:p w14:paraId="6098854F" w14:textId="77777777" w:rsidR="00F13514" w:rsidRDefault="00F13514" w:rsidP="00563133">
      <w:pPr>
        <w:spacing w:before="120" w:after="0" w:line="288" w:lineRule="auto"/>
        <w:jc w:val="center"/>
        <w:rPr>
          <w:rFonts w:ascii="Arial" w:eastAsia="Times New Roman" w:hAnsi="Arial" w:cs="Arial"/>
          <w:b/>
          <w:bCs/>
          <w:color w:val="514B64"/>
          <w:sz w:val="44"/>
          <w:szCs w:val="44"/>
        </w:rPr>
      </w:pPr>
    </w:p>
    <w:p w14:paraId="563F04E9" w14:textId="0973B1F0" w:rsidR="00F13514" w:rsidRDefault="007B2BE0" w:rsidP="00563133">
      <w:pPr>
        <w:spacing w:before="120" w:after="0" w:line="288" w:lineRule="auto"/>
        <w:jc w:val="center"/>
        <w:rPr>
          <w:rFonts w:ascii="Arial" w:eastAsia="Times New Roman" w:hAnsi="Arial" w:cs="Arial"/>
          <w:b/>
          <w:bCs/>
          <w:color w:val="514B64"/>
          <w:sz w:val="44"/>
          <w:szCs w:val="44"/>
        </w:rPr>
      </w:pPr>
      <w:r w:rsidRPr="1351881B">
        <w:rPr>
          <w:rFonts w:ascii="Arial" w:eastAsia="Times New Roman" w:hAnsi="Arial" w:cs="Arial"/>
          <w:b/>
          <w:bCs/>
          <w:color w:val="514B64"/>
          <w:sz w:val="44"/>
          <w:szCs w:val="44"/>
        </w:rPr>
        <w:t>Simulation financière</w:t>
      </w:r>
      <w:bookmarkStart w:id="3" w:name="_Toc338942980"/>
      <w:bookmarkStart w:id="4" w:name="_Toc345677696"/>
      <w:bookmarkStart w:id="5" w:name="_Toc346705490"/>
      <w:bookmarkEnd w:id="0"/>
      <w:bookmarkEnd w:id="1"/>
      <w:bookmarkEnd w:id="2"/>
    </w:p>
    <w:p w14:paraId="4AAC36FC" w14:textId="53D60CF5" w:rsidR="00563133" w:rsidRPr="00563133" w:rsidRDefault="3F173D6F" w:rsidP="00563133">
      <w:pPr>
        <w:spacing w:before="120" w:after="0" w:line="288" w:lineRule="auto"/>
        <w:jc w:val="center"/>
        <w:rPr>
          <w:rFonts w:ascii="Arial" w:eastAsia="Times New Roman" w:hAnsi="Arial" w:cs="Arial"/>
          <w:b/>
          <w:bCs/>
          <w:color w:val="514B64"/>
          <w:sz w:val="44"/>
          <w:szCs w:val="44"/>
        </w:rPr>
      </w:pPr>
      <w:r w:rsidRPr="1351881B">
        <w:rPr>
          <w:rFonts w:ascii="Arial" w:eastAsia="Times New Roman" w:hAnsi="Arial" w:cs="Arial"/>
          <w:b/>
          <w:bCs/>
          <w:color w:val="514B64"/>
          <w:sz w:val="44"/>
          <w:szCs w:val="44"/>
        </w:rPr>
        <w:t>Marché</w:t>
      </w:r>
      <w:r w:rsidR="00563133" w:rsidRPr="1351881B">
        <w:rPr>
          <w:rFonts w:ascii="Arial" w:eastAsia="Times New Roman" w:hAnsi="Arial" w:cs="Arial"/>
          <w:b/>
          <w:bCs/>
          <w:color w:val="514B64"/>
          <w:sz w:val="44"/>
          <w:szCs w:val="44"/>
        </w:rPr>
        <w:t xml:space="preserve"> n°</w:t>
      </w:r>
      <w:bookmarkEnd w:id="3"/>
      <w:bookmarkEnd w:id="4"/>
      <w:bookmarkEnd w:id="5"/>
      <w:r w:rsidR="00563133" w:rsidRPr="1351881B">
        <w:rPr>
          <w:rFonts w:ascii="Arial" w:eastAsia="Times New Roman" w:hAnsi="Arial" w:cs="Arial"/>
          <w:b/>
          <w:bCs/>
          <w:color w:val="514B64"/>
          <w:sz w:val="44"/>
          <w:szCs w:val="44"/>
        </w:rPr>
        <w:t xml:space="preserve"> </w:t>
      </w:r>
      <w:r w:rsidR="3973CC21" w:rsidRPr="1351881B">
        <w:rPr>
          <w:rFonts w:ascii="Arial" w:eastAsia="Times New Roman" w:hAnsi="Arial" w:cs="Arial"/>
          <w:b/>
          <w:bCs/>
          <w:color w:val="514B64"/>
          <w:sz w:val="44"/>
          <w:szCs w:val="44"/>
        </w:rPr>
        <w:t>2025-2507067001</w:t>
      </w:r>
    </w:p>
    <w:p w14:paraId="4BC6414E" w14:textId="77777777" w:rsidR="00563133" w:rsidRPr="00563133" w:rsidRDefault="00563133" w:rsidP="00563133">
      <w:pPr>
        <w:spacing w:before="120" w:after="0" w:line="288" w:lineRule="auto"/>
        <w:ind w:left="-142" w:right="-177"/>
        <w:jc w:val="both"/>
        <w:rPr>
          <w:rFonts w:ascii="Arial" w:eastAsia="Times New Roman" w:hAnsi="Arial" w:cs="Arial"/>
          <w:b/>
          <w:bCs/>
          <w:color w:val="514B64"/>
          <w:sz w:val="32"/>
          <w:szCs w:val="32"/>
        </w:rPr>
      </w:pPr>
    </w:p>
    <w:p w14:paraId="0FC42C6C" w14:textId="77777777" w:rsidR="00563133" w:rsidRPr="00563133" w:rsidRDefault="00563133" w:rsidP="00563133">
      <w:pPr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514B64"/>
          <w:sz w:val="44"/>
          <w:szCs w:val="44"/>
        </w:rPr>
      </w:pPr>
      <w:r w:rsidRPr="00563133">
        <w:rPr>
          <w:rFonts w:ascii="Arial" w:eastAsia="Times New Roman" w:hAnsi="Arial" w:cs="Arial"/>
          <w:b/>
          <w:bCs/>
          <w:noProof/>
          <w:color w:val="514B64"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48C86A9" wp14:editId="4E17069E">
                <wp:simplePos x="0" y="0"/>
                <wp:positionH relativeFrom="column">
                  <wp:posOffset>-101600</wp:posOffset>
                </wp:positionH>
                <wp:positionV relativeFrom="paragraph">
                  <wp:posOffset>400049</wp:posOffset>
                </wp:positionV>
                <wp:extent cx="5783580" cy="0"/>
                <wp:effectExtent l="0" t="19050" r="26670" b="19050"/>
                <wp:wrapNone/>
                <wp:docPr id="1" name="Connecteur droi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35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7ED5">
                              <a:alpha val="50195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a="http://schemas.openxmlformats.org/drawingml/2006/main" xmlns:a14="http://schemas.microsoft.com/office/drawing/2010/main">
            <w:pict>
              <v:line id="Connecteur droit 1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spid="_x0000_s1026" strokecolor="#007ed5" strokeweight="3pt" from="-8pt,31.5pt" to="447.4pt,31.5pt" w14:anchorId="1130B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1eSLwIAAFYEAAAOAAAAZHJzL2Uyb0RvYy54bWysVMGO2yAQvVfqPyDfE9uJk3WsOKvKTnrZ&#10;tpF2+wEEcIyKAQGJE1X99w7YSXfbS1X1ggeYefPmzeD146UT6MyM5UqWUTpNIsQkUZTLYxl9fdlN&#10;8ghZhyXFQklWRldmo8fN+3frXhdsplolKDMIQKQtel1GrXO6iGNLWtZhO1WaSbhslOmwg605xtTg&#10;HtA7Ec+SZBn3ylBtFGHWwmk9XEabgN80jLgvTWOZQ6KMgJsLqwnrwa/xZo2Lo8G65WSkgf+BRYe5&#10;hKR3qBo7jE6G/wHVcWKUVY2bEtXFqmk4YaEGqCZNfqvmucWahVpAHKvvMtn/B0s+n/cGcQq9i5DE&#10;HbSoUlKCbuxkEDWKO5R6lXptC3Cu5N74OslFPusnRb5ZJFXVYnlkge3LVQNEiIjfhPiN1ZDr0H9S&#10;FHzwyakg2aUxnYcEMdAldOZ67wy7OETgcPGQzxc5NJDc7mJc3AK1se4jUx3yRhkJLr1ouMDnJ+uA&#10;OrjeXPyxVDsuRGi8kKgvo3meJkmIsEpw6m+9nzXHQyUMOmM/O8nDtl4MsEK3eDhdJOlq4dWBFKP7&#10;YL/GMeokaUjXMky3o+0wF4MNsUL6hFAsEB6tYXq+r5LVNt/m2SSbLbeTLKnryYddlU2Wu/RhUc/r&#10;qqrTH55WmhUtp5RJT/82yWn2d5MyvqlhBu+zfBcqfoseSgSyt28gHbrtGzyMykHR6954ZXzjYXiD&#10;8/jQ/Ot4vQ9ev34Hm58AAAD//wMAUEsDBBQABgAIAAAAIQD5D/6B3QAAAAkBAAAPAAAAZHJzL2Rv&#10;d25yZXYueG1sTI9BT8MwDIXvSPyHyEjctnQDVWtpOo1Ju3DbisQ1a0xT0ThVkq2FX48RBzhZ9nt6&#10;/l61nd0grhhi70nBapmBQGq96alT8NocFhsQMWkyevCECj4xwra+val0afxER7yeUic4hGKpFdiU&#10;xlLK2Fp0Oi79iMTauw9OJ15DJ03QE4e7Qa6zLJdO98QfrB5xb7H9OF2cgr1vC7nW1OyKl8NbmBr7&#10;3Hwdlbq/m3dPIBLO6c8MP/iMDjUznf2FTBSDgsUq5y5JQf7Akw2b4pG7nH8Psq7k/wb1NwAAAP//&#10;AwBQSwECLQAUAAYACAAAACEAtoM4kv4AAADhAQAAEwAAAAAAAAAAAAAAAAAAAAAAW0NvbnRlbnRf&#10;VHlwZXNdLnhtbFBLAQItABQABgAIAAAAIQA4/SH/1gAAAJQBAAALAAAAAAAAAAAAAAAAAC8BAABf&#10;cmVscy8ucmVsc1BLAQItABQABgAIAAAAIQB9o1eSLwIAAFYEAAAOAAAAAAAAAAAAAAAAAC4CAABk&#10;cnMvZTJvRG9jLnhtbFBLAQItABQABgAIAAAAIQD5D/6B3QAAAAkBAAAPAAAAAAAAAAAAAAAAAIkE&#10;AABkcnMvZG93bnJldi54bWxQSwUGAAAAAAQABADzAAAAkwUAAAAA&#10;">
                <v:stroke opacity="32896f"/>
              </v:line>
            </w:pict>
          </mc:Fallback>
        </mc:AlternateContent>
      </w:r>
    </w:p>
    <w:p w14:paraId="73E8F1F7" w14:textId="035DF540" w:rsidR="00563133" w:rsidRDefault="7248CBFD" w:rsidP="00563133">
      <w:pPr>
        <w:spacing w:before="120" w:after="0" w:line="288" w:lineRule="auto"/>
        <w:jc w:val="center"/>
        <w:rPr>
          <w:rFonts w:ascii="Arial" w:eastAsia="Times New Roman" w:hAnsi="Arial" w:cs="Arial"/>
          <w:b/>
          <w:bCs/>
          <w:color w:val="514B64"/>
          <w:sz w:val="44"/>
          <w:szCs w:val="44"/>
        </w:rPr>
      </w:pPr>
      <w:bookmarkStart w:id="6" w:name="_Toc338942981"/>
      <w:bookmarkStart w:id="7" w:name="_Toc345677697"/>
      <w:bookmarkStart w:id="8" w:name="_Toc346705491"/>
      <w:r w:rsidRPr="0628B0F1">
        <w:rPr>
          <w:rFonts w:ascii="Arial" w:eastAsia="Times New Roman" w:hAnsi="Arial" w:cs="Arial"/>
          <w:b/>
          <w:bCs/>
          <w:color w:val="514B64"/>
          <w:sz w:val="44"/>
          <w:szCs w:val="44"/>
        </w:rPr>
        <w:t xml:space="preserve"> </w:t>
      </w:r>
      <w:r w:rsidR="32D17DD5" w:rsidRPr="00B57C6C">
        <w:rPr>
          <w:rFonts w:ascii="Arial" w:eastAsia="Times New Roman" w:hAnsi="Arial" w:cs="Arial"/>
          <w:b/>
          <w:bCs/>
          <w:color w:val="514B64"/>
          <w:sz w:val="44"/>
          <w:szCs w:val="44"/>
        </w:rPr>
        <w:t xml:space="preserve">ASSISTANCE A MAITRISE D’OEUVRE </w:t>
      </w:r>
      <w:r w:rsidR="00563133" w:rsidRPr="00B57C6C">
        <w:rPr>
          <w:rFonts w:ascii="Arial" w:eastAsia="Times New Roman" w:hAnsi="Arial" w:cs="Arial"/>
          <w:b/>
          <w:bCs/>
          <w:color w:val="514B64"/>
          <w:sz w:val="44"/>
          <w:szCs w:val="44"/>
        </w:rPr>
        <w:t xml:space="preserve"> POUR DES LOGICIELS ET PLATEFORMES </w:t>
      </w:r>
      <w:r w:rsidR="107EEF69" w:rsidRPr="00B57C6C">
        <w:rPr>
          <w:rFonts w:ascii="Arial" w:eastAsia="Times New Roman" w:hAnsi="Arial" w:cs="Arial"/>
          <w:b/>
          <w:bCs/>
          <w:color w:val="514B64"/>
          <w:sz w:val="44"/>
          <w:szCs w:val="44"/>
        </w:rPr>
        <w:t>DU</w:t>
      </w:r>
      <w:r w:rsidR="43112B19" w:rsidRPr="00B57C6C">
        <w:rPr>
          <w:rFonts w:ascii="Arial" w:eastAsia="Times New Roman" w:hAnsi="Arial" w:cs="Arial"/>
          <w:b/>
          <w:bCs/>
          <w:color w:val="514B64"/>
          <w:sz w:val="44"/>
          <w:szCs w:val="44"/>
        </w:rPr>
        <w:t xml:space="preserve"> </w:t>
      </w:r>
      <w:r w:rsidR="00563133" w:rsidRPr="00B57C6C">
        <w:rPr>
          <w:rFonts w:ascii="Arial" w:eastAsia="Times New Roman" w:hAnsi="Arial" w:cs="Arial"/>
          <w:b/>
          <w:bCs/>
          <w:color w:val="514B64"/>
          <w:sz w:val="44"/>
          <w:szCs w:val="44"/>
        </w:rPr>
        <w:t>SERVICE INFORMATIQUE DE L’ATIH</w:t>
      </w:r>
    </w:p>
    <w:p w14:paraId="4A977C8D" w14:textId="77777777" w:rsidR="00F13514" w:rsidRPr="00563133" w:rsidRDefault="00F13514" w:rsidP="00563133">
      <w:pPr>
        <w:spacing w:before="120" w:after="0" w:line="288" w:lineRule="auto"/>
        <w:jc w:val="center"/>
        <w:rPr>
          <w:rFonts w:ascii="Arial" w:eastAsia="Times New Roman" w:hAnsi="Arial" w:cs="Arial"/>
          <w:b/>
          <w:bCs/>
          <w:color w:val="514B64"/>
          <w:sz w:val="44"/>
          <w:szCs w:val="44"/>
        </w:rPr>
      </w:pPr>
      <w:r w:rsidRPr="00563133">
        <w:rPr>
          <w:rFonts w:ascii="Arial" w:eastAsia="Times New Roman" w:hAnsi="Arial" w:cs="Arial"/>
          <w:b/>
          <w:bCs/>
          <w:noProof/>
          <w:color w:val="514B64"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6465B3BD" wp14:editId="2CAD396C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5783580" cy="0"/>
                <wp:effectExtent l="0" t="19050" r="26670" b="19050"/>
                <wp:wrapNone/>
                <wp:docPr id="2" name="Connecteur droi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35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7ED5">
                              <a:alpha val="50195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a="http://schemas.openxmlformats.org/drawingml/2006/main" xmlns:a14="http://schemas.microsoft.com/office/drawing/2010/main">
            <w:pict>
              <v:line id="Connecteur droit 2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spid="_x0000_s1026" strokecolor="#007ed5" strokeweight="3pt" from="0,1.5pt" to="455.4pt,1.5pt" w14:anchorId="626CDCF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lRtLAIAAFYEAAAOAAAAZHJzL2Uyb0RvYy54bWysVMGO2yAQvVfqPyDuie3EThwrzqqyk162&#10;3Ui7/QACOEbFgIDEiar+ewEn1qa9VFUveICZN29mHl4/XToOzlQbJkUJk2kMARVYEiaOJfz2tpvk&#10;EBiLBEFcClrCKzXwafPxw7pXBZ3JVnJCNXAgwhS9KmFrrSqiyOCWdshMpaLCXTZSd8i6rT5GRKPe&#10;oXc8msXxIuqlJkpLTI1xp/VwCTcBv2koti9NY6gFvISOmw2rDuvBr9FmjYqjRqpl+EYD/QOLDjHh&#10;ko5QNbIInDT7A6pjWEsjGzvFsotk0zBMQw2umiT+rZrXFikaanHNMWpsk/l/sPjrea8BIyWcQSBQ&#10;50ZUSSFc3+hJA6Ils2Dmu9QrUzjnSuy1rxNfxKt6lvi7AUJWLRJHGti+XZWDSHxE9BDiN0a5XIf+&#10;iyTOB52sDC27NLrzkK4Z4BImcx0nQy8WYHeYLfN5lrsB4vtdhIp7oNLGfqayA94oIWfCNw0V6Pxs&#10;rCeCiruLPxZyxzgPg+cC9CWc50kchwgjOSP+1vsZfTxUXIMz8tqJl9s6G2C5atFwmsXJKgu1ju4h&#10;3QOOlidBQrqWIrK92RYxPtiOHhc+oSvWEb5Zg3p+rOLVNt/m6SSdLbaTNK7ryaddlU4Wu2SZ1fO6&#10;qurkp6eVpEXLCKHC078rOUn/Tim3NzVocNTy2KjoET2U6Mjev4F0mLYf8CCVgyTXvb6rwIk3ON8e&#10;mn8d7/fOfv872PwCAAD//wMAUEsDBBQABgAIAAAAIQBC7QuZ2AAAAAQBAAAPAAAAZHJzL2Rvd25y&#10;ZXYueG1sTI9BS8NAEIXvgv9hGcGb3bSCmJhNqYVevLURvE6z02xodjZkt0301zt60dPweI833yvX&#10;s+/VlcbYBTawXGSgiJtgO24NvNe7h2dQMSFb7AOTgU+KsK5ub0osbJh4T9dDapWUcCzQgEtpKLSO&#10;jSOPcREGYvFOYfSYRI6ttiNOUu57vcqyJ+2xY/ngcKCto+Z8uHgD29DkeoVcb/K33cc41e61/tob&#10;c383b15AJZrTXxh+8AUdKmE6hgvbqHoDMiQZeJQjZr7MZMfxV+uq1P/hq28AAAD//wMAUEsBAi0A&#10;FAAGAAgAAAAhALaDOJL+AAAA4QEAABMAAAAAAAAAAAAAAAAAAAAAAFtDb250ZW50X1R5cGVzXS54&#10;bWxQSwECLQAUAAYACAAAACEAOP0h/9YAAACUAQAACwAAAAAAAAAAAAAAAAAvAQAAX3JlbHMvLnJl&#10;bHNQSwECLQAUAAYACAAAACEAR0ZUbSwCAABWBAAADgAAAAAAAAAAAAAAAAAuAgAAZHJzL2Uyb0Rv&#10;Yy54bWxQSwECLQAUAAYACAAAACEAQu0LmdgAAAAEAQAADwAAAAAAAAAAAAAAAACGBAAAZHJzL2Rv&#10;d25yZXYueG1sUEsFBgAAAAAEAAQA8wAAAIsFAAAAAA==&#10;">
                <v:stroke opacity="32896f"/>
              </v:line>
            </w:pict>
          </mc:Fallback>
        </mc:AlternateContent>
      </w:r>
    </w:p>
    <w:bookmarkEnd w:id="6"/>
    <w:bookmarkEnd w:id="7"/>
    <w:bookmarkEnd w:id="8"/>
    <w:p w14:paraId="309215C0" w14:textId="77777777" w:rsidR="00F13514" w:rsidRDefault="00F13514">
      <w:r>
        <w:br w:type="page"/>
      </w:r>
    </w:p>
    <w:p w14:paraId="4A8BFB02" w14:textId="109D983F" w:rsidR="00B27702" w:rsidRDefault="00B27702" w:rsidP="00D34F7D">
      <w:pPr>
        <w:jc w:val="both"/>
      </w:pPr>
      <w:r>
        <w:lastRenderedPageBreak/>
        <w:t xml:space="preserve">Afin de pouvoir </w:t>
      </w:r>
      <w:r w:rsidR="00BE0AC6">
        <w:t>analyser</w:t>
      </w:r>
      <w:r>
        <w:t xml:space="preserve"> les différentes offres, </w:t>
      </w:r>
      <w:r w:rsidR="00F13514">
        <w:t xml:space="preserve">les candidats sont invités à </w:t>
      </w:r>
      <w:r>
        <w:t>r</w:t>
      </w:r>
      <w:r w:rsidR="00D34F7D">
        <w:t>enseigner une simulation financière relative à une</w:t>
      </w:r>
      <w:r w:rsidR="001239C9">
        <w:t xml:space="preserve"> com</w:t>
      </w:r>
      <w:r w:rsidR="00BE0AC6">
        <w:t xml:space="preserve">binaison </w:t>
      </w:r>
      <w:r>
        <w:t>d’application</w:t>
      </w:r>
      <w:r w:rsidR="001239C9">
        <w:t>s</w:t>
      </w:r>
      <w:r>
        <w:t xml:space="preserve"> mis</w:t>
      </w:r>
      <w:r w:rsidR="001239C9">
        <w:t>e</w:t>
      </w:r>
      <w:r>
        <w:t xml:space="preserve"> en T</w:t>
      </w:r>
      <w:r w:rsidR="00F13514">
        <w:t>ierce Maintenance Applicative (TMA)</w:t>
      </w:r>
      <w:r w:rsidR="001239C9">
        <w:t xml:space="preserve"> et </w:t>
      </w:r>
      <w:r w:rsidR="00D34F7D">
        <w:t xml:space="preserve">une simulation financière </w:t>
      </w:r>
      <w:r w:rsidR="00F13514">
        <w:t>relati</w:t>
      </w:r>
      <w:r w:rsidR="00D34F7D">
        <w:t>ve</w:t>
      </w:r>
      <w:r w:rsidR="00F13514">
        <w:t xml:space="preserve"> </w:t>
      </w:r>
      <w:r w:rsidR="001239C9">
        <w:t>à une plateforme</w:t>
      </w:r>
      <w:r w:rsidR="00D34F7D">
        <w:t xml:space="preserve"> mise en </w:t>
      </w:r>
      <w:r w:rsidR="2A7EDE9E">
        <w:t>Développement</w:t>
      </w:r>
      <w:r w:rsidR="001239C9">
        <w:t>.</w:t>
      </w:r>
    </w:p>
    <w:p w14:paraId="772946BA" w14:textId="4A6C3885" w:rsidR="00B27702" w:rsidRDefault="00B27702" w:rsidP="00D34F7D">
      <w:pPr>
        <w:jc w:val="both"/>
      </w:pPr>
      <w:r>
        <w:t>L’obje</w:t>
      </w:r>
      <w:r w:rsidR="00D34F7D">
        <w:t xml:space="preserve">ctif </w:t>
      </w:r>
      <w:r>
        <w:t>n’est pas de définir le nombre d</w:t>
      </w:r>
      <w:r w:rsidR="00BE0AC6">
        <w:t xml:space="preserve">’unités d’œuvre </w:t>
      </w:r>
      <w:r>
        <w:t xml:space="preserve">pour répondre </w:t>
      </w:r>
      <w:r w:rsidR="00F13514">
        <w:t>aux</w:t>
      </w:r>
      <w:r>
        <w:t xml:space="preserve"> deux cas fictifs, qui sont </w:t>
      </w:r>
      <w:r w:rsidR="00F13514">
        <w:t xml:space="preserve">par </w:t>
      </w:r>
      <w:r>
        <w:t>ailleurs données comme hypothèse de départ</w:t>
      </w:r>
      <w:r w:rsidR="00D34F7D">
        <w:t xml:space="preserve">. </w:t>
      </w:r>
    </w:p>
    <w:p w14:paraId="058B46F5" w14:textId="34C1269A" w:rsidR="00B27702" w:rsidRDefault="001239C9" w:rsidP="00D34F7D">
      <w:pPr>
        <w:jc w:val="both"/>
      </w:pPr>
      <w:r>
        <w:t xml:space="preserve">Le nombre d’UO proposé </w:t>
      </w:r>
      <w:r w:rsidR="00B907AF">
        <w:t xml:space="preserve">est </w:t>
      </w:r>
      <w:r>
        <w:t>indicati</w:t>
      </w:r>
      <w:r w:rsidR="00B907AF">
        <w:t>f</w:t>
      </w:r>
      <w:r>
        <w:t xml:space="preserve"> et n</w:t>
      </w:r>
      <w:r w:rsidR="00C54933">
        <w:t>’est</w:t>
      </w:r>
      <w:r w:rsidR="00F13514">
        <w:t xml:space="preserve"> </w:t>
      </w:r>
      <w:r>
        <w:t xml:space="preserve">là que pour permettre </w:t>
      </w:r>
      <w:r w:rsidR="00D34F7D">
        <w:t xml:space="preserve">l’analyse des offres. </w:t>
      </w:r>
    </w:p>
    <w:p w14:paraId="3A522749" w14:textId="662E34DD" w:rsidR="00BE0AC6" w:rsidRDefault="00B27702" w:rsidP="00206304">
      <w:pPr>
        <w:jc w:val="both"/>
      </w:pPr>
      <w:r>
        <w:t xml:space="preserve">Rappelons que la majorité des plateformes ou </w:t>
      </w:r>
      <w:r w:rsidR="00D34F7D">
        <w:t>combinaison</w:t>
      </w:r>
      <w:r>
        <w:t xml:space="preserve"> d’applications qui seront mis</w:t>
      </w:r>
      <w:r w:rsidR="2A8292E5">
        <w:t>es</w:t>
      </w:r>
      <w:r>
        <w:t xml:space="preserve"> en TMA sont actuellement gérées en interne</w:t>
      </w:r>
      <w:r w:rsidR="00F13514">
        <w:t xml:space="preserve"> par l’ATIH</w:t>
      </w:r>
      <w:r w:rsidR="00FF15D3">
        <w:t xml:space="preserve"> ou pa</w:t>
      </w:r>
      <w:r w:rsidR="727961BE">
        <w:t>r</w:t>
      </w:r>
      <w:r w:rsidR="00FF15D3">
        <w:t xml:space="preserve"> une autre prestataire.</w:t>
      </w:r>
      <w:r>
        <w:t xml:space="preserve"> </w:t>
      </w:r>
      <w:r w:rsidR="00FF15D3">
        <w:t xml:space="preserve">Les applications auront une taille variable. Leur gestion en TMA et support actuels demande entre 0,25 et 1,25 ETP par application. Les dispositifs sont basés sur </w:t>
      </w:r>
      <w:r w:rsidR="6D8FD6EE">
        <w:t>des technologies variées</w:t>
      </w:r>
      <w:r w:rsidR="00FF15D3">
        <w:t xml:space="preserve"> </w:t>
      </w:r>
      <w:r w:rsidR="541D489E">
        <w:t>: .</w:t>
      </w:r>
      <w:r w:rsidR="00FF15D3">
        <w:t>Net, Php-Symfony, java J2EE.</w:t>
      </w:r>
    </w:p>
    <w:p w14:paraId="7CB9EE03" w14:textId="71549B82" w:rsidR="00BE0AC6" w:rsidRPr="00D34F7D" w:rsidRDefault="00FF2D32" w:rsidP="1351881B">
      <w:pPr>
        <w:jc w:val="both"/>
        <w:rPr>
          <w:b/>
          <w:bCs/>
          <w:u w:val="single"/>
        </w:rPr>
      </w:pPr>
      <w:r w:rsidRPr="1351881B">
        <w:rPr>
          <w:b/>
          <w:bCs/>
          <w:u w:val="single"/>
        </w:rPr>
        <w:t>Consignes :</w:t>
      </w:r>
      <w:r w:rsidRPr="1351881B">
        <w:rPr>
          <w:b/>
          <w:bCs/>
        </w:rPr>
        <w:t xml:space="preserve"> </w:t>
      </w:r>
      <w:r w:rsidR="00D34F7D" w:rsidRPr="1351881B">
        <w:rPr>
          <w:b/>
          <w:bCs/>
        </w:rPr>
        <w:t xml:space="preserve">le candidat devra remplir </w:t>
      </w:r>
      <w:r w:rsidR="00254858" w:rsidRPr="1351881B">
        <w:rPr>
          <w:b/>
          <w:bCs/>
        </w:rPr>
        <w:t>l</w:t>
      </w:r>
      <w:r w:rsidR="00D34F7D" w:rsidRPr="1351881B">
        <w:rPr>
          <w:b/>
          <w:bCs/>
        </w:rPr>
        <w:t>es tableaux présenté</w:t>
      </w:r>
      <w:r w:rsidR="00254858" w:rsidRPr="1351881B">
        <w:rPr>
          <w:b/>
          <w:bCs/>
        </w:rPr>
        <w:t xml:space="preserve">s </w:t>
      </w:r>
      <w:r w:rsidR="00D34F7D" w:rsidRPr="1351881B">
        <w:rPr>
          <w:b/>
          <w:bCs/>
        </w:rPr>
        <w:t xml:space="preserve">ci-dessous en reportant </w:t>
      </w:r>
      <w:r w:rsidR="00254858" w:rsidRPr="1351881B">
        <w:rPr>
          <w:b/>
          <w:bCs/>
        </w:rPr>
        <w:t xml:space="preserve">pour </w:t>
      </w:r>
      <w:r w:rsidR="006B0322" w:rsidRPr="1351881B">
        <w:rPr>
          <w:b/>
          <w:bCs/>
        </w:rPr>
        <w:t xml:space="preserve">l’unité d’œuvre 1 le montant du forfait </w:t>
      </w:r>
      <w:r w:rsidR="00DE6111" w:rsidRPr="1351881B">
        <w:rPr>
          <w:b/>
          <w:bCs/>
        </w:rPr>
        <w:t xml:space="preserve">pour une réunion </w:t>
      </w:r>
      <w:r w:rsidR="006B0322" w:rsidRPr="1351881B">
        <w:rPr>
          <w:b/>
          <w:bCs/>
        </w:rPr>
        <w:t xml:space="preserve">en euros HT indiqué dans son bordereau des prix </w:t>
      </w:r>
      <w:r w:rsidR="21D4B905" w:rsidRPr="1351881B">
        <w:rPr>
          <w:b/>
          <w:bCs/>
        </w:rPr>
        <w:t>unitaires</w:t>
      </w:r>
      <w:r w:rsidR="006B0322" w:rsidRPr="1351881B">
        <w:rPr>
          <w:b/>
          <w:bCs/>
        </w:rPr>
        <w:t xml:space="preserve">. Ensuite, pour </w:t>
      </w:r>
      <w:r w:rsidR="00254858" w:rsidRPr="1351881B">
        <w:rPr>
          <w:b/>
          <w:bCs/>
        </w:rPr>
        <w:t>cha</w:t>
      </w:r>
      <w:r w:rsidR="006B0322" w:rsidRPr="1351881B">
        <w:rPr>
          <w:b/>
          <w:bCs/>
        </w:rPr>
        <w:t>cune des autres</w:t>
      </w:r>
      <w:r w:rsidR="00254858" w:rsidRPr="1351881B">
        <w:rPr>
          <w:b/>
          <w:bCs/>
        </w:rPr>
        <w:t xml:space="preserve"> </w:t>
      </w:r>
      <w:r w:rsidR="006B0322" w:rsidRPr="1351881B">
        <w:rPr>
          <w:b/>
          <w:bCs/>
        </w:rPr>
        <w:t xml:space="preserve">unités d’œuvre, le candidat renseignera </w:t>
      </w:r>
      <w:r w:rsidR="00D34F7D" w:rsidRPr="1351881B">
        <w:rPr>
          <w:b/>
          <w:bCs/>
        </w:rPr>
        <w:t xml:space="preserve">le montant </w:t>
      </w:r>
      <w:r w:rsidR="00254858" w:rsidRPr="1351881B">
        <w:rPr>
          <w:b/>
          <w:bCs/>
        </w:rPr>
        <w:t xml:space="preserve">journalier HT figurant dans son bordereau des prix </w:t>
      </w:r>
      <w:r w:rsidR="2FBB6E3F" w:rsidRPr="1351881B">
        <w:rPr>
          <w:b/>
          <w:bCs/>
        </w:rPr>
        <w:t>unitaires</w:t>
      </w:r>
      <w:r w:rsidR="00254858" w:rsidRPr="1351881B">
        <w:rPr>
          <w:b/>
          <w:bCs/>
        </w:rPr>
        <w:t xml:space="preserve">. Il indiquera ensuite les </w:t>
      </w:r>
      <w:r w:rsidR="006B0322" w:rsidRPr="1351881B">
        <w:rPr>
          <w:b/>
          <w:bCs/>
        </w:rPr>
        <w:t>montants en euros HT , par application des quantités exprimées pour les différentes unités d’œuvre.</w:t>
      </w:r>
      <w:r w:rsidR="006B0322" w:rsidRPr="1351881B">
        <w:rPr>
          <w:b/>
          <w:bCs/>
          <w:u w:val="single"/>
        </w:rPr>
        <w:t xml:space="preserve"> </w:t>
      </w:r>
    </w:p>
    <w:p w14:paraId="03ECE8C6" w14:textId="77777777" w:rsidR="00FF2D32" w:rsidRDefault="00FF2D32"/>
    <w:p w14:paraId="32AA94D3" w14:textId="32D1CD13" w:rsidR="00B27702" w:rsidRPr="00D34F7D" w:rsidRDefault="007F36BA">
      <w:pPr>
        <w:rPr>
          <w:b/>
          <w:color w:val="2F5496" w:themeColor="accent1" w:themeShade="BF"/>
          <w:sz w:val="32"/>
          <w:szCs w:val="32"/>
        </w:rPr>
      </w:pPr>
      <w:r>
        <w:rPr>
          <w:b/>
          <w:color w:val="2F5496" w:themeColor="accent1" w:themeShade="BF"/>
          <w:sz w:val="32"/>
          <w:szCs w:val="32"/>
        </w:rPr>
        <w:t xml:space="preserve">Simulation </w:t>
      </w:r>
      <w:r w:rsidR="00BE0AC6" w:rsidRPr="00D34F7D">
        <w:rPr>
          <w:b/>
          <w:color w:val="2F5496" w:themeColor="accent1" w:themeShade="BF"/>
          <w:sz w:val="32"/>
          <w:szCs w:val="32"/>
        </w:rPr>
        <w:t>n°1 – Combinaison</w:t>
      </w:r>
      <w:r w:rsidR="00B27702" w:rsidRPr="00D34F7D">
        <w:rPr>
          <w:b/>
          <w:color w:val="2F5496" w:themeColor="accent1" w:themeShade="BF"/>
          <w:sz w:val="32"/>
          <w:szCs w:val="32"/>
        </w:rPr>
        <w:t xml:space="preserve"> de 5 </w:t>
      </w:r>
      <w:r w:rsidR="00DE752D">
        <w:rPr>
          <w:b/>
          <w:color w:val="2F5496" w:themeColor="accent1" w:themeShade="BF"/>
          <w:sz w:val="32"/>
          <w:szCs w:val="32"/>
        </w:rPr>
        <w:t>dispositifs</w:t>
      </w:r>
      <w:r w:rsidR="00B27702" w:rsidRPr="00D34F7D">
        <w:rPr>
          <w:b/>
          <w:color w:val="2F5496" w:themeColor="accent1" w:themeShade="BF"/>
          <w:sz w:val="32"/>
          <w:szCs w:val="32"/>
        </w:rPr>
        <w:t xml:space="preserve"> en </w:t>
      </w:r>
      <w:r w:rsidR="00024BA9">
        <w:rPr>
          <w:b/>
          <w:color w:val="2F5496" w:themeColor="accent1" w:themeShade="BF"/>
          <w:sz w:val="32"/>
          <w:szCs w:val="32"/>
        </w:rPr>
        <w:t>.Net et JAVA</w:t>
      </w:r>
      <w:r w:rsidR="00B27702" w:rsidRPr="00D34F7D">
        <w:rPr>
          <w:b/>
          <w:color w:val="2F5496" w:themeColor="accent1" w:themeShade="BF"/>
          <w:sz w:val="32"/>
          <w:szCs w:val="32"/>
        </w:rPr>
        <w:t> :</w:t>
      </w:r>
    </w:p>
    <w:p w14:paraId="551C3286" w14:textId="24443237" w:rsidR="003871C4" w:rsidRDefault="00024BA9" w:rsidP="00D34F7D">
      <w:pPr>
        <w:jc w:val="both"/>
      </w:pPr>
      <w:r>
        <w:t xml:space="preserve">Les clients lourds </w:t>
      </w:r>
      <w:r w:rsidR="003871C4">
        <w:t xml:space="preserve">utilisent des nuggets </w:t>
      </w:r>
      <w:r>
        <w:t xml:space="preserve">.Net </w:t>
      </w:r>
      <w:r w:rsidR="00C54933">
        <w:t>développé</w:t>
      </w:r>
      <w:r>
        <w:t>s</w:t>
      </w:r>
      <w:r w:rsidR="00C54933">
        <w:t xml:space="preserve"> en interne </w:t>
      </w:r>
      <w:r w:rsidR="003871C4">
        <w:t xml:space="preserve">et </w:t>
      </w:r>
      <w:r w:rsidR="00C54933">
        <w:t xml:space="preserve">des </w:t>
      </w:r>
      <w:r w:rsidR="003871C4">
        <w:t>dll en C</w:t>
      </w:r>
      <w:r w:rsidR="00C54933">
        <w:t xml:space="preserve">. </w:t>
      </w:r>
      <w:r w:rsidR="003871C4">
        <w:t xml:space="preserve"> </w:t>
      </w:r>
      <w:r w:rsidR="00C54933">
        <w:t xml:space="preserve">La </w:t>
      </w:r>
      <w:r w:rsidR="003871C4">
        <w:t>maintenance</w:t>
      </w:r>
      <w:r w:rsidR="00C54933">
        <w:t xml:space="preserve"> de</w:t>
      </w:r>
      <w:r>
        <w:t xml:space="preserve">s certains </w:t>
      </w:r>
      <w:r w:rsidR="00C54933">
        <w:t>nuggets et dll</w:t>
      </w:r>
      <w:r w:rsidR="003871C4">
        <w:t xml:space="preserve"> </w:t>
      </w:r>
      <w:r>
        <w:t>restera en interne ATIH mais ça sera une minorité</w:t>
      </w:r>
      <w:r w:rsidR="003871C4">
        <w:t>.</w:t>
      </w:r>
    </w:p>
    <w:p w14:paraId="6D2DE77D" w14:textId="01B87B19" w:rsidR="00DE752D" w:rsidRDefault="00DE752D" w:rsidP="00D34F7D">
      <w:pPr>
        <w:jc w:val="both"/>
      </w:pPr>
      <w:r>
        <w:t>Les plateformes (serveurs) sont écrites en Java.</w:t>
      </w:r>
    </w:p>
    <w:p w14:paraId="35CB30A6" w14:textId="77777777" w:rsidR="001239C9" w:rsidRDefault="001239C9" w:rsidP="00D34F7D">
      <w:pPr>
        <w:jc w:val="both"/>
      </w:pPr>
      <w:r>
        <w:t>La prise en main de ces 5 applications a été estimée à 30 jours.</w:t>
      </w:r>
    </w:p>
    <w:p w14:paraId="4F160E58" w14:textId="343ECAA6" w:rsidR="00416339" w:rsidRDefault="00416339" w:rsidP="00D34F7D">
      <w:pPr>
        <w:jc w:val="both"/>
      </w:pPr>
      <w:r>
        <w:t xml:space="preserve">Sur ces 5 applications, </w:t>
      </w:r>
      <w:r w:rsidR="00DE752D">
        <w:t>2</w:t>
      </w:r>
      <w:r>
        <w:t xml:space="preserve"> ont des mises à jour mensuelles. Chacune de ces mises </w:t>
      </w:r>
      <w:r w:rsidR="00280729">
        <w:t xml:space="preserve">à </w:t>
      </w:r>
      <w:r>
        <w:t xml:space="preserve">jour nécessitent 0,5j pour la mise en </w:t>
      </w:r>
      <w:r w:rsidR="00280729">
        <w:t xml:space="preserve">œuvre </w:t>
      </w:r>
      <w:r>
        <w:t>conformément au CCTP et les éléments permettant de les mettre en place sont disponibles une semaine avant la mise à jour.</w:t>
      </w:r>
    </w:p>
    <w:p w14:paraId="1C312F18" w14:textId="5C1D2A2B" w:rsidR="00416339" w:rsidRDefault="00416339" w:rsidP="00D34F7D">
      <w:pPr>
        <w:jc w:val="both"/>
      </w:pPr>
      <w:r>
        <w:t xml:space="preserve">Pour les mises à jour annuelles qui surviennent pour les transmissions M3 (le 15 avril), les spécifications des mises à jour sont disponibles au plus tard fin février. Sur une des applications, les mises à jour vont nécessiter 10 jours de développements, pour les </w:t>
      </w:r>
      <w:r w:rsidR="00DE752D">
        <w:t>2</w:t>
      </w:r>
      <w:r>
        <w:t xml:space="preserve"> autres les évolutions vont demander 2 jours pour chacun.</w:t>
      </w:r>
    </w:p>
    <w:p w14:paraId="25E87F7E" w14:textId="3631BCD3" w:rsidR="00416339" w:rsidRDefault="00416339" w:rsidP="00D34F7D">
      <w:pPr>
        <w:jc w:val="both"/>
      </w:pPr>
      <w:r>
        <w:t>Pour l’ensemble des logiciels, la maintenance corrective et</w:t>
      </w:r>
      <w:r w:rsidR="001239C9">
        <w:t xml:space="preserve"> le support est </w:t>
      </w:r>
      <w:r w:rsidR="00280729">
        <w:t xml:space="preserve">estimée à </w:t>
      </w:r>
      <w:r w:rsidR="00DE752D">
        <w:t>4</w:t>
      </w:r>
      <w:r w:rsidR="00280729">
        <w:t xml:space="preserve"> jours par mois</w:t>
      </w:r>
      <w:r w:rsidR="009418EC">
        <w:t xml:space="preserve"> (une </w:t>
      </w:r>
      <w:r w:rsidR="00EA780C">
        <w:t>dizaine</w:t>
      </w:r>
      <w:r w:rsidR="009418EC">
        <w:t xml:space="preserve"> de questions par mois avec au plus </w:t>
      </w:r>
      <w:r w:rsidR="00DE752D">
        <w:t>5</w:t>
      </w:r>
      <w:r w:rsidR="009418EC">
        <w:t xml:space="preserve"> corrections par an, toujours liée à un problème de maintenance évolutive qui </w:t>
      </w:r>
      <w:r w:rsidR="00C54933">
        <w:t>a</w:t>
      </w:r>
      <w:r w:rsidR="009418EC">
        <w:t xml:space="preserve"> bogué).</w:t>
      </w:r>
    </w:p>
    <w:p w14:paraId="33B83C61" w14:textId="0D2142A9" w:rsidR="00DA55B4" w:rsidRDefault="00DA55B4" w:rsidP="00DA55B4">
      <w:pPr>
        <w:jc w:val="both"/>
      </w:pPr>
      <w:r>
        <w:t xml:space="preserve">Le suivi sera réalisé sur la base de </w:t>
      </w:r>
      <w:r w:rsidR="00C0741A">
        <w:t>4</w:t>
      </w:r>
      <w:r>
        <w:t xml:space="preserve"> réunions annuelle</w:t>
      </w:r>
      <w:r w:rsidR="00DE752D">
        <w:t>s</w:t>
      </w:r>
      <w:r>
        <w:t>.</w:t>
      </w:r>
    </w:p>
    <w:p w14:paraId="08307D2F" w14:textId="55DECFAC" w:rsidR="007A3642" w:rsidRDefault="006D34AA" w:rsidP="00D34F7D">
      <w:pPr>
        <w:jc w:val="both"/>
      </w:pPr>
      <w:r>
        <w:t xml:space="preserve">Ce qui donnerait une </w:t>
      </w:r>
      <w:r w:rsidR="46991E5B">
        <w:t>simulation</w:t>
      </w:r>
      <w:r>
        <w:t xml:space="preserve"> financière suivante</w:t>
      </w:r>
      <w:r w:rsidR="003871C4">
        <w:t xml:space="preserve"> pour une année de mise en TMA</w:t>
      </w:r>
      <w:r w:rsidR="00DE752D">
        <w:t xml:space="preserve"> de ces 5 dispositifs</w:t>
      </w:r>
      <w:r w:rsidR="003871C4">
        <w:t>.</w:t>
      </w:r>
    </w:p>
    <w:p w14:paraId="72281B09" w14:textId="07A217D7" w:rsidR="00206304" w:rsidRDefault="00206304" w:rsidP="00D34F7D">
      <w:pPr>
        <w:jc w:val="both"/>
      </w:pPr>
    </w:p>
    <w:p w14:paraId="70795869" w14:textId="7A41B505" w:rsidR="00206304" w:rsidRDefault="00206304" w:rsidP="00D34F7D">
      <w:pPr>
        <w:jc w:val="both"/>
      </w:pPr>
    </w:p>
    <w:p w14:paraId="45CA6AD7" w14:textId="017194D9" w:rsidR="00206304" w:rsidRDefault="00206304" w:rsidP="00D34F7D">
      <w:pPr>
        <w:jc w:val="both"/>
      </w:pPr>
    </w:p>
    <w:p w14:paraId="7D67FB08" w14:textId="19165693" w:rsidR="00206304" w:rsidRDefault="00206304" w:rsidP="00D34F7D">
      <w:pPr>
        <w:jc w:val="both"/>
      </w:pPr>
    </w:p>
    <w:p w14:paraId="0903FD61" w14:textId="791C19A6" w:rsidR="00206304" w:rsidRDefault="00206304" w:rsidP="00D34F7D">
      <w:pPr>
        <w:jc w:val="both"/>
      </w:pPr>
    </w:p>
    <w:p w14:paraId="4610E3F9" w14:textId="77777777" w:rsidR="00206304" w:rsidRDefault="00206304" w:rsidP="00D34F7D">
      <w:pPr>
        <w:jc w:val="both"/>
      </w:pPr>
    </w:p>
    <w:tbl>
      <w:tblPr>
        <w:tblW w:w="949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1080"/>
        <w:gridCol w:w="1329"/>
        <w:gridCol w:w="142"/>
        <w:gridCol w:w="1276"/>
        <w:gridCol w:w="1418"/>
        <w:gridCol w:w="1701"/>
      </w:tblGrid>
      <w:tr w:rsidR="00DE6111" w:rsidRPr="00254858" w14:paraId="0C718ABD" w14:textId="77777777" w:rsidTr="00B57C6C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7511C" w14:textId="77777777" w:rsidR="00DE6111" w:rsidRPr="00254858" w:rsidRDefault="00DE6111" w:rsidP="00BB5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</w:pPr>
            <w:r w:rsidRPr="00254858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  <w:t>Prestations forfaitaires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F5EF1" w14:textId="5F7F17B0" w:rsidR="00DE6111" w:rsidRPr="00254858" w:rsidRDefault="00DE6111" w:rsidP="00BB5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</w:pPr>
            <w:r w:rsidRPr="00254858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  <w:t>U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  <w:t>nité d’œuvre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42329" w14:textId="2CA77CF8" w:rsidR="00DE6111" w:rsidRPr="00254858" w:rsidRDefault="00DE6111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t>Nombre d’UO</w:t>
            </w:r>
          </w:p>
          <w:p w14:paraId="5FE0A424" w14:textId="03EC30BC" w:rsidR="00DE6111" w:rsidRPr="00254858" w:rsidRDefault="77A0310F" w:rsidP="135188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t>(nb de réunions)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9E6C4" w14:textId="7FCBA6D2" w:rsidR="00DE6111" w:rsidRPr="00254858" w:rsidRDefault="00DE6111" w:rsidP="006E43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</w:pPr>
            <w:r w:rsidRPr="00DE6111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  <w:t>Forfait par réunion en € HT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6D548" w14:textId="01FBBAE9" w:rsidR="00DE6111" w:rsidRPr="00254858" w:rsidRDefault="002D45A0" w:rsidP="006E43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  <w:t xml:space="preserve">Montant total </w:t>
            </w:r>
            <w:r w:rsidR="00DE6111" w:rsidRPr="00CA57D3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  <w:t>en €</w:t>
            </w:r>
            <w:r w:rsidR="00DE6111" w:rsidRPr="00254858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  <w:t xml:space="preserve"> HT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0EA1A" w14:textId="128A8776" w:rsidR="00DE6111" w:rsidRPr="00254858" w:rsidRDefault="00DE6111" w:rsidP="135188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DE6111" w:rsidRPr="00254858" w14:paraId="0B4EF5A0" w14:textId="77777777" w:rsidTr="00B57C6C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43D57" w14:textId="77777777" w:rsidR="00DE6111" w:rsidRPr="00254858" w:rsidRDefault="00DE6111" w:rsidP="006E43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</w:pPr>
            <w:r w:rsidRPr="00254858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  <w:t>Initialisation et suivi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22AC9" w14:textId="5FB390C2" w:rsidR="00DE6111" w:rsidRPr="00254858" w:rsidRDefault="00DE6111" w:rsidP="135188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1351881B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UO-</w:t>
            </w:r>
            <w:r w:rsidR="2132AEE6" w:rsidRPr="1351881B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TMA-0</w:t>
            </w:r>
            <w:r w:rsidRPr="1351881B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268ED" w14:textId="358E75A5" w:rsidR="00DE6111" w:rsidRPr="00B57C6C" w:rsidRDefault="00C0741A" w:rsidP="135188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fr-FR"/>
              </w:rPr>
            </w:pPr>
            <w:r w:rsidRPr="00B57C6C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4</w:t>
            </w:r>
            <w:r w:rsidR="00DE752D" w:rsidRPr="00B57C6C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suivi + la partie initialisation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012D9" w14:textId="37F890A9" w:rsidR="00DE6111" w:rsidRPr="00254858" w:rsidRDefault="00DE6111" w:rsidP="006E43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FE0A8" w14:textId="77777777" w:rsidR="00DE6111" w:rsidRPr="00254858" w:rsidRDefault="00DE6111" w:rsidP="006E43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A4DFE" w14:textId="77777777" w:rsidR="00DE6111" w:rsidRPr="00254858" w:rsidRDefault="00DE6111" w:rsidP="006E43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</w:tr>
      <w:tr w:rsidR="00505207" w:rsidRPr="00254858" w14:paraId="286C3084" w14:textId="77777777" w:rsidTr="00B57C6C">
        <w:trPr>
          <w:trHeight w:val="300"/>
        </w:trPr>
        <w:tc>
          <w:tcPr>
            <w:tcW w:w="6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1A143" w14:textId="77777777" w:rsidR="00505207" w:rsidRPr="00C75BCC" w:rsidRDefault="00505207" w:rsidP="006E433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lang w:eastAsia="fr-FR"/>
              </w:rPr>
            </w:pPr>
            <w:r w:rsidRPr="00C75BCC">
              <w:rPr>
                <w:rFonts w:ascii="Calibri" w:eastAsia="Times New Roman" w:hAnsi="Calibri" w:cs="Calibri"/>
                <w:b/>
                <w:color w:val="000000"/>
                <w:sz w:val="18"/>
                <w:lang w:eastAsia="fr-FR"/>
              </w:rPr>
              <w:t>Montant total pour la réalisation des prestations forfaitaires en € HT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472A3" w14:textId="77777777" w:rsidR="00505207" w:rsidRPr="00254858" w:rsidRDefault="00505207" w:rsidP="006E4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6BAEB53F" w14:textId="77777777" w:rsidR="00505207" w:rsidRPr="00254858" w:rsidRDefault="00505207" w:rsidP="006E4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505207" w:rsidRPr="00254858" w14:paraId="16A5B338" w14:textId="77777777" w:rsidTr="00B57C6C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E10E4" w14:textId="77777777" w:rsidR="00505207" w:rsidRPr="00254858" w:rsidRDefault="00505207" w:rsidP="006E43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2AEBF8" w14:textId="77777777" w:rsidR="00505207" w:rsidRPr="00254858" w:rsidRDefault="00505207" w:rsidP="006E4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AB6D93" w14:textId="77777777" w:rsidR="00505207" w:rsidRPr="00254858" w:rsidRDefault="00505207" w:rsidP="006E4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1A976A22" w14:textId="77777777" w:rsidR="00505207" w:rsidRPr="00254858" w:rsidRDefault="00505207" w:rsidP="006E4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DCF6A00" w14:textId="77777777" w:rsidR="00505207" w:rsidRPr="00254858" w:rsidRDefault="00505207" w:rsidP="006E4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9225F0F" w14:textId="77777777" w:rsidR="00505207" w:rsidRPr="00254858" w:rsidRDefault="00505207" w:rsidP="006E4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505207" w:rsidRPr="00254858" w14:paraId="0F1E5F51" w14:textId="77777777" w:rsidTr="00B57C6C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92CFA" w14:textId="77777777" w:rsidR="00505207" w:rsidRPr="00254858" w:rsidRDefault="00505207" w:rsidP="00BB5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</w:pPr>
            <w:r w:rsidRPr="00254858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  <w:t>Prestations journalières forfaitisées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F7785" w14:textId="77777777" w:rsidR="00505207" w:rsidRPr="00254858" w:rsidRDefault="00505207" w:rsidP="006E43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</w:pPr>
            <w:r w:rsidRPr="00254858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  <w:t>Unité d'œuvre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8F72A" w14:textId="77777777" w:rsidR="00505207" w:rsidRPr="00254858" w:rsidRDefault="00505207" w:rsidP="006E43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</w:pPr>
            <w:r w:rsidRPr="00254858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  <w:t>Nombre d'UO (journées)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EFBE5" w14:textId="776AAAF3" w:rsidR="00505207" w:rsidRPr="00254858" w:rsidRDefault="00505207" w:rsidP="006E43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  <w:t xml:space="preserve">Prix </w:t>
            </w:r>
            <w:r w:rsidRPr="00254858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  <w:t>journalier en € HT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260C5" w14:textId="77777777" w:rsidR="00505207" w:rsidRPr="00254858" w:rsidRDefault="00505207" w:rsidP="006E43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</w:pPr>
            <w:r w:rsidRPr="00BB5FA9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  <w:t>Montant total en € HT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76AF0" w14:textId="06B1088A" w:rsidR="00505207" w:rsidRPr="00254858" w:rsidRDefault="00505207" w:rsidP="135188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505207" w:rsidRPr="00254858" w14:paraId="2B9CAD1D" w14:textId="77777777" w:rsidTr="00B57C6C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7002" w14:textId="50A147A9" w:rsidR="00505207" w:rsidRPr="00254858" w:rsidRDefault="060092FE" w:rsidP="3D8C7E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1351881B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t>Prise en main des logiciels ou plateformes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BE70" w14:textId="23321204" w:rsidR="00505207" w:rsidRPr="00254858" w:rsidRDefault="3BCB760E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UO-</w:t>
            </w:r>
            <w:r w:rsidR="7D11B5D4"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TMA-0</w:t>
            </w: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AB3FE" w14:textId="52FA937F" w:rsidR="00505207" w:rsidRPr="00254858" w:rsidRDefault="004C4D36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7E0ED" w14:textId="77777777" w:rsidR="00505207" w:rsidRPr="00254858" w:rsidRDefault="00505207" w:rsidP="4B8CB7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CD324" w14:textId="77777777" w:rsidR="00505207" w:rsidRPr="00254858" w:rsidRDefault="00505207" w:rsidP="006E43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CED69" w14:textId="77777777" w:rsidR="00505207" w:rsidRPr="00254858" w:rsidRDefault="00505207" w:rsidP="006E43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</w:tr>
      <w:tr w:rsidR="00505207" w:rsidRPr="00254858" w14:paraId="508EB934" w14:textId="77777777" w:rsidTr="00B57C6C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9EE74" w14:textId="77777777" w:rsidR="00505207" w:rsidRPr="00254858" w:rsidRDefault="00505207" w:rsidP="006E43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</w:pPr>
            <w:r w:rsidRPr="00254858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  <w:t>Maintenance corrective et Support niveau 2 et 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A577" w14:textId="4024D9A0" w:rsidR="00505207" w:rsidRPr="00254858" w:rsidRDefault="3BCB760E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UO-</w:t>
            </w:r>
            <w:r w:rsidR="53D66ABA"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TMA-0</w:t>
            </w: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B174" w14:textId="0D0BD063" w:rsidR="00505207" w:rsidRPr="00254858" w:rsidRDefault="00C0741A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18649" w14:textId="77777777" w:rsidR="00505207" w:rsidRPr="00254858" w:rsidRDefault="00505207" w:rsidP="4B8CB7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95B83" w14:textId="77777777" w:rsidR="00505207" w:rsidRPr="00254858" w:rsidRDefault="00505207" w:rsidP="006E43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884E2" w14:textId="77777777" w:rsidR="00505207" w:rsidRPr="00254858" w:rsidRDefault="00505207" w:rsidP="006E43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</w:tr>
      <w:tr w:rsidR="00505207" w:rsidRPr="00254858" w14:paraId="740D166F" w14:textId="77777777" w:rsidTr="00B57C6C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3D756" w14:textId="3E72B421" w:rsidR="00505207" w:rsidRPr="00254858" w:rsidRDefault="00DE752D" w:rsidP="006E43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</w:pPr>
            <w:r w:rsidRPr="00DE752D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  <w:t>Maintenance évolutive annuelle (petites évolutions)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8B0BF" w14:textId="4FB12E1E" w:rsidR="00505207" w:rsidRPr="00254858" w:rsidRDefault="3BCB760E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UO-</w:t>
            </w:r>
            <w:r w:rsidR="533D7402"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TMA-0</w:t>
            </w: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15333" w14:textId="74918731" w:rsidR="00505207" w:rsidRPr="00254858" w:rsidRDefault="004C4D36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18DC3" w14:textId="77777777" w:rsidR="00505207" w:rsidRPr="00254858" w:rsidRDefault="00505207" w:rsidP="4B8CB7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8618F" w14:textId="77777777" w:rsidR="00505207" w:rsidRPr="00254858" w:rsidRDefault="00505207" w:rsidP="006E43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37E31" w14:textId="77777777" w:rsidR="00505207" w:rsidRPr="00254858" w:rsidRDefault="00505207" w:rsidP="006E43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</w:tr>
      <w:tr w:rsidR="00505207" w:rsidRPr="00254858" w14:paraId="7E445603" w14:textId="77777777" w:rsidTr="00B57C6C">
        <w:trPr>
          <w:trHeight w:val="300"/>
        </w:trPr>
        <w:tc>
          <w:tcPr>
            <w:tcW w:w="6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1EB78" w14:textId="77777777" w:rsidR="00505207" w:rsidRPr="00C75BCC" w:rsidRDefault="00505207" w:rsidP="4B8CB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t>Montant total pour la réalisation des prestations journalières forfaitisées en € HT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35FAA" w14:textId="77777777" w:rsidR="00505207" w:rsidRPr="00254858" w:rsidRDefault="00505207" w:rsidP="006E4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59E9ED60" w14:textId="77777777" w:rsidR="00505207" w:rsidRPr="00254858" w:rsidRDefault="00505207" w:rsidP="006E4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505207" w:rsidRPr="00254858" w14:paraId="21D051D1" w14:textId="77777777" w:rsidTr="00B57C6C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A49EA3" w14:textId="1876F1B5" w:rsidR="00505207" w:rsidRPr="00254858" w:rsidRDefault="00505207" w:rsidP="006E43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</w:pPr>
            <w:r w:rsidRPr="00254858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  <w:t xml:space="preserve">Pour les demandes d'évolution </w:t>
            </w:r>
            <w:r w:rsidR="00C0741A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  <w:t>/ projets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669C45" w14:textId="77777777" w:rsidR="00505207" w:rsidRPr="00254858" w:rsidRDefault="00505207" w:rsidP="4B8CB7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85E0B9" w14:textId="77777777" w:rsidR="00505207" w:rsidRPr="00254858" w:rsidRDefault="00505207" w:rsidP="006E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B1B5B" w14:textId="77777777" w:rsidR="00505207" w:rsidRPr="00254858" w:rsidRDefault="00505207" w:rsidP="006E4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55F87" w14:textId="77777777" w:rsidR="00505207" w:rsidRPr="00254858" w:rsidRDefault="00505207" w:rsidP="006E4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EA657" w14:textId="77777777" w:rsidR="00505207" w:rsidRPr="00254858" w:rsidRDefault="00505207" w:rsidP="006E4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C0741A" w:rsidRPr="00254858" w14:paraId="254541C4" w14:textId="77777777" w:rsidTr="00B57C6C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D1ACAE" w14:textId="77777777" w:rsidR="00C0741A" w:rsidRPr="00254858" w:rsidRDefault="00C0741A" w:rsidP="006E43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DA72F1" w14:textId="77777777" w:rsidR="00C0741A" w:rsidRPr="00254858" w:rsidRDefault="00C0741A" w:rsidP="4B8CB7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785852" w14:textId="77777777" w:rsidR="00C0741A" w:rsidRPr="00254858" w:rsidRDefault="00C0741A" w:rsidP="006E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E13AA7" w14:textId="77777777" w:rsidR="00C0741A" w:rsidRPr="00254858" w:rsidRDefault="00C0741A" w:rsidP="006E4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193CB9E" w14:textId="77777777" w:rsidR="00C0741A" w:rsidRPr="00254858" w:rsidRDefault="00C0741A" w:rsidP="006E4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DF75A05" w14:textId="77777777" w:rsidR="00C0741A" w:rsidRPr="00254858" w:rsidRDefault="00C0741A" w:rsidP="006E4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C0741A" w:rsidRPr="00254858" w14:paraId="2526106D" w14:textId="77777777" w:rsidTr="00B57C6C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83E7DB" w14:textId="77777777" w:rsidR="00C0741A" w:rsidRPr="00254858" w:rsidRDefault="00C0741A" w:rsidP="006E43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629E6A" w14:textId="77777777" w:rsidR="00C0741A" w:rsidRPr="00254858" w:rsidRDefault="00C0741A" w:rsidP="4B8CB7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642AE3" w14:textId="77777777" w:rsidR="00C0741A" w:rsidRPr="00254858" w:rsidRDefault="00C0741A" w:rsidP="006E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CE3344" w14:textId="77777777" w:rsidR="00C0741A" w:rsidRPr="00254858" w:rsidRDefault="00C0741A" w:rsidP="006E4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91614B" w14:textId="77777777" w:rsidR="00C0741A" w:rsidRPr="00254858" w:rsidRDefault="00C0741A" w:rsidP="006E4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44E2674" w14:textId="77777777" w:rsidR="00C0741A" w:rsidRPr="00254858" w:rsidRDefault="00C0741A" w:rsidP="006E4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505207" w:rsidRPr="00254858" w14:paraId="04BA388B" w14:textId="77777777" w:rsidTr="00B57C6C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F7C37" w14:textId="77777777" w:rsidR="00505207" w:rsidRPr="00254858" w:rsidRDefault="00505207" w:rsidP="00BB5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</w:pPr>
            <w:r w:rsidRPr="00254858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  <w:t>Prestations journalières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D3A26" w14:textId="77777777" w:rsidR="00505207" w:rsidRPr="00254858" w:rsidRDefault="00505207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t>Unité d'œuvre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C9A6C" w14:textId="77777777" w:rsidR="00505207" w:rsidRPr="00254858" w:rsidRDefault="00505207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t>Nombre d'UO (journées)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CFA2D" w14:textId="297DA2F4" w:rsidR="00505207" w:rsidRPr="00254858" w:rsidRDefault="00505207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t>Prix journalier en €HT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65B20" w14:textId="77777777" w:rsidR="00505207" w:rsidRPr="00254858" w:rsidRDefault="00505207" w:rsidP="006E43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</w:pPr>
            <w:r w:rsidRPr="00BB5FA9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  <w:t>Montant total en € HT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2BF1A" w14:textId="5646FAB5" w:rsidR="00505207" w:rsidRPr="00254858" w:rsidRDefault="00505207" w:rsidP="135188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505207" w:rsidRPr="00254858" w14:paraId="25BAD14C" w14:textId="77777777" w:rsidTr="00B57C6C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D5C7" w14:textId="04866EAF" w:rsidR="00505207" w:rsidRPr="00254858" w:rsidRDefault="003D6C39" w:rsidP="006E43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</w:pPr>
            <w:r w:rsidRPr="003D6C39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  <w:t>Maintenance évolutive et adaptative (sur devis)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136B7" w14:textId="1E1E2B7A" w:rsidR="00505207" w:rsidRPr="00254858" w:rsidRDefault="3BCB760E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UO-</w:t>
            </w:r>
            <w:r w:rsidR="00376F5D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TMA-0</w:t>
            </w: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5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CFB65" w14:textId="5B10E799" w:rsidR="00505207" w:rsidRPr="00254858" w:rsidRDefault="004C4D36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547A1" w14:textId="77777777" w:rsidR="00505207" w:rsidRPr="00254858" w:rsidRDefault="00505207" w:rsidP="4B8CB7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9C195" w14:textId="77777777" w:rsidR="00505207" w:rsidRPr="00254858" w:rsidRDefault="00505207" w:rsidP="006E43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43FA8" w14:textId="77777777" w:rsidR="00505207" w:rsidRPr="00254858" w:rsidRDefault="00505207" w:rsidP="006E43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</w:tr>
      <w:tr w:rsidR="003D6C39" w:rsidRPr="00254858" w14:paraId="7FBAD682" w14:textId="77777777" w:rsidTr="00B57C6C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D2166" w14:textId="0508BD2D" w:rsidR="003D6C39" w:rsidRPr="00BB5FA9" w:rsidRDefault="003D6C39" w:rsidP="006E43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</w:pPr>
            <w:r w:rsidRPr="003D6C39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  <w:t>Maintenance évolutive en mode projet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2119" w14:textId="4EBAECF7" w:rsidR="003D6C39" w:rsidRPr="00BB5FA9" w:rsidRDefault="003D6C39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UO-</w:t>
            </w:r>
            <w:r w:rsidR="00376F5D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TMA-0</w:t>
            </w: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6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D63CB" w14:textId="65A37447" w:rsidR="003D6C39" w:rsidRDefault="003D6C39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A46EC" w14:textId="77777777" w:rsidR="003D6C39" w:rsidRPr="00254858" w:rsidRDefault="003D6C39" w:rsidP="4B8CB7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FC651" w14:textId="77777777" w:rsidR="003D6C39" w:rsidRPr="00254858" w:rsidRDefault="003D6C39" w:rsidP="006E43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7F18F" w14:textId="77777777" w:rsidR="003D6C39" w:rsidRPr="00254858" w:rsidRDefault="003D6C39" w:rsidP="006E43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</w:tr>
      <w:tr w:rsidR="00505207" w:rsidRPr="00254858" w14:paraId="594C9B5A" w14:textId="77777777" w:rsidTr="00B57C6C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C0C1B" w14:textId="77777777" w:rsidR="00505207" w:rsidRPr="00BB5FA9" w:rsidRDefault="00505207" w:rsidP="006E43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</w:pPr>
            <w:r w:rsidRPr="00BB5FA9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  <w:t>Réversibilité : Transfert de compétences techniques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923D5" w14:textId="730A7B5E" w:rsidR="00505207" w:rsidRPr="00BB5FA9" w:rsidRDefault="3BCB760E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UO-</w:t>
            </w:r>
            <w:r w:rsidR="00376F5D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TMA-0</w:t>
            </w:r>
            <w:r w:rsidR="003D6C39"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7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04273" w14:textId="1A62CC6A" w:rsidR="00505207" w:rsidRPr="00254858" w:rsidRDefault="004C4D36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205BB" w14:textId="77777777" w:rsidR="00505207" w:rsidRPr="00254858" w:rsidRDefault="00505207" w:rsidP="4B8CB7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29A25" w14:textId="77777777" w:rsidR="00505207" w:rsidRPr="00254858" w:rsidRDefault="00505207" w:rsidP="006E43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  <w:r w:rsidRPr="00254858"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054A9" w14:textId="7C0CC333" w:rsidR="00505207" w:rsidRPr="00254858" w:rsidRDefault="00505207" w:rsidP="135188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</w:p>
        </w:tc>
      </w:tr>
      <w:tr w:rsidR="00505207" w:rsidRPr="00254858" w14:paraId="394D5CCF" w14:textId="77777777" w:rsidTr="00B57C6C">
        <w:trPr>
          <w:trHeight w:val="300"/>
        </w:trPr>
        <w:tc>
          <w:tcPr>
            <w:tcW w:w="6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0C23B" w14:textId="77777777" w:rsidR="00505207" w:rsidRPr="00C75BCC" w:rsidRDefault="00505207" w:rsidP="006E433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lang w:eastAsia="fr-FR"/>
              </w:rPr>
            </w:pPr>
            <w:r w:rsidRPr="00C75BCC">
              <w:rPr>
                <w:rFonts w:ascii="Calibri" w:eastAsia="Times New Roman" w:hAnsi="Calibri" w:cs="Calibri"/>
                <w:b/>
                <w:color w:val="000000"/>
                <w:sz w:val="18"/>
                <w:lang w:eastAsia="fr-FR"/>
              </w:rPr>
              <w:t>Montant total pour la réalisation des prestations journalières en € HT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838E9" w14:textId="77777777" w:rsidR="00505207" w:rsidRPr="00254858" w:rsidRDefault="00505207" w:rsidP="006E43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208C16A4" w14:textId="77777777" w:rsidR="00505207" w:rsidRPr="00254858" w:rsidRDefault="00505207" w:rsidP="006E43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</w:tr>
      <w:tr w:rsidR="00505207" w:rsidRPr="00254858" w14:paraId="1CFF4A2E" w14:textId="77777777" w:rsidTr="00B57C6C">
        <w:trPr>
          <w:trHeight w:val="300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EE32C2" w14:textId="77777777" w:rsidR="00505207" w:rsidRPr="00CA57D3" w:rsidRDefault="00505207" w:rsidP="006E43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1E3A35" w14:textId="77777777" w:rsidR="00505207" w:rsidRPr="00254858" w:rsidRDefault="00505207" w:rsidP="006E43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ABD526" w14:textId="77777777" w:rsidR="00505207" w:rsidRPr="00254858" w:rsidRDefault="00505207" w:rsidP="006E43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D1D011A" w14:textId="77777777" w:rsidR="00505207" w:rsidRPr="00254858" w:rsidRDefault="00505207" w:rsidP="006E43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CC0044F" w14:textId="77777777" w:rsidR="00505207" w:rsidRPr="00254858" w:rsidRDefault="00505207" w:rsidP="006E43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721792" w14:textId="77777777" w:rsidR="00505207" w:rsidRPr="00254858" w:rsidRDefault="00505207" w:rsidP="006E43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</w:tr>
      <w:tr w:rsidR="00505207" w:rsidRPr="00254858" w14:paraId="48DA3A27" w14:textId="77777777" w:rsidTr="00B57C6C">
        <w:trPr>
          <w:trHeight w:val="300"/>
        </w:trPr>
        <w:tc>
          <w:tcPr>
            <w:tcW w:w="6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D9038" w14:textId="56EF18E7" w:rsidR="00505207" w:rsidRPr="00C75BCC" w:rsidRDefault="00505207" w:rsidP="006E433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lang w:eastAsia="fr-FR"/>
              </w:rPr>
            </w:pPr>
            <w:r w:rsidRPr="00C75BCC">
              <w:rPr>
                <w:rFonts w:ascii="Calibri" w:eastAsia="Times New Roman" w:hAnsi="Calibri" w:cs="Calibri"/>
                <w:b/>
                <w:color w:val="000000"/>
                <w:sz w:val="18"/>
                <w:lang w:eastAsia="fr-FR"/>
              </w:rPr>
              <w:t xml:space="preserve">Montant total </w:t>
            </w:r>
            <w:r w:rsidR="00206304">
              <w:rPr>
                <w:rFonts w:ascii="Calibri" w:eastAsia="Times New Roman" w:hAnsi="Calibri" w:cs="Calibri"/>
                <w:b/>
                <w:color w:val="000000"/>
                <w:sz w:val="18"/>
                <w:lang w:eastAsia="fr-FR"/>
              </w:rPr>
              <w:t xml:space="preserve">de la simulation n°1 </w:t>
            </w:r>
            <w:r w:rsidRPr="00C75BCC">
              <w:rPr>
                <w:rFonts w:ascii="Calibri" w:eastAsia="Times New Roman" w:hAnsi="Calibri" w:cs="Calibri"/>
                <w:b/>
                <w:color w:val="000000"/>
                <w:sz w:val="18"/>
                <w:lang w:eastAsia="fr-FR"/>
              </w:rPr>
              <w:t>pour la réalisation de tous les types de prestations en € HT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26F16" w14:textId="77777777" w:rsidR="00505207" w:rsidRPr="00254858" w:rsidRDefault="00505207" w:rsidP="006E43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310C886B" w14:textId="77777777" w:rsidR="00505207" w:rsidRPr="00254858" w:rsidRDefault="00505207" w:rsidP="006E43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</w:tr>
    </w:tbl>
    <w:p w14:paraId="12E6D359" w14:textId="77777777" w:rsidR="006D34AA" w:rsidRDefault="006D34AA"/>
    <w:p w14:paraId="455049A7" w14:textId="4354F3D2" w:rsidR="00BE0AC6" w:rsidRDefault="00266471">
      <w:pPr>
        <w:rPr>
          <w:b/>
          <w:color w:val="2F5496" w:themeColor="accent1" w:themeShade="BF"/>
          <w:sz w:val="32"/>
          <w:szCs w:val="32"/>
        </w:rPr>
      </w:pPr>
      <w:r>
        <w:t>La maintenance actuelle pour cet ensemble est réalisé</w:t>
      </w:r>
      <w:r w:rsidR="00A33FEF">
        <w:t>e</w:t>
      </w:r>
      <w:r>
        <w:t xml:space="preserve"> par </w:t>
      </w:r>
      <w:r w:rsidR="00C0741A">
        <w:t>1</w:t>
      </w:r>
      <w:r>
        <w:t xml:space="preserve"> ETP (réparti sur </w:t>
      </w:r>
      <w:r w:rsidR="00C0741A">
        <w:t>3</w:t>
      </w:r>
      <w:r>
        <w:t xml:space="preserve"> personnes).</w:t>
      </w:r>
    </w:p>
    <w:p w14:paraId="36ED40B5" w14:textId="77777777" w:rsidR="00206304" w:rsidRDefault="00206304">
      <w:pPr>
        <w:rPr>
          <w:b/>
          <w:color w:val="2F5496" w:themeColor="accent1" w:themeShade="BF"/>
          <w:sz w:val="32"/>
          <w:szCs w:val="32"/>
        </w:rPr>
      </w:pPr>
    </w:p>
    <w:p w14:paraId="5E92FB0C" w14:textId="283FF0F1" w:rsidR="003871C4" w:rsidRPr="00D34F7D" w:rsidRDefault="007F36BA">
      <w:pPr>
        <w:rPr>
          <w:b/>
          <w:color w:val="2F5496" w:themeColor="accent1" w:themeShade="BF"/>
          <w:sz w:val="32"/>
          <w:szCs w:val="32"/>
        </w:rPr>
      </w:pPr>
      <w:r>
        <w:rPr>
          <w:b/>
          <w:color w:val="2F5496" w:themeColor="accent1" w:themeShade="BF"/>
          <w:sz w:val="32"/>
          <w:szCs w:val="32"/>
        </w:rPr>
        <w:t>Simulation</w:t>
      </w:r>
      <w:r w:rsidR="00BE0AC6" w:rsidRPr="00D34F7D">
        <w:rPr>
          <w:b/>
          <w:color w:val="2F5496" w:themeColor="accent1" w:themeShade="BF"/>
          <w:sz w:val="32"/>
          <w:szCs w:val="32"/>
        </w:rPr>
        <w:t xml:space="preserve"> n°2 – </w:t>
      </w:r>
      <w:r w:rsidR="003871C4" w:rsidRPr="00D34F7D">
        <w:rPr>
          <w:b/>
          <w:color w:val="2F5496" w:themeColor="accent1" w:themeShade="BF"/>
          <w:sz w:val="32"/>
          <w:szCs w:val="32"/>
        </w:rPr>
        <w:t>un</w:t>
      </w:r>
      <w:r w:rsidR="00BE0AC6" w:rsidRPr="00D34F7D">
        <w:rPr>
          <w:b/>
          <w:color w:val="2F5496" w:themeColor="accent1" w:themeShade="BF"/>
          <w:sz w:val="32"/>
          <w:szCs w:val="32"/>
        </w:rPr>
        <w:t xml:space="preserve">e </w:t>
      </w:r>
      <w:r w:rsidR="003871C4" w:rsidRPr="00D34F7D">
        <w:rPr>
          <w:b/>
          <w:color w:val="2F5496" w:themeColor="accent1" w:themeShade="BF"/>
          <w:sz w:val="32"/>
          <w:szCs w:val="32"/>
        </w:rPr>
        <w:t>plateforme internet développée en PHP</w:t>
      </w:r>
      <w:r w:rsidR="003D6C39">
        <w:rPr>
          <w:b/>
          <w:color w:val="2F5496" w:themeColor="accent1" w:themeShade="BF"/>
          <w:sz w:val="32"/>
          <w:szCs w:val="32"/>
        </w:rPr>
        <w:t xml:space="preserve"> avec quelques modules en .Net</w:t>
      </w:r>
    </w:p>
    <w:p w14:paraId="47B5D905" w14:textId="4DC94B9D" w:rsidR="006D0CF7" w:rsidRDefault="006D0CF7" w:rsidP="00D34F7D">
      <w:pPr>
        <w:jc w:val="both"/>
      </w:pPr>
      <w:r>
        <w:t>Elle intègre des bundles développés en interne.  La maintenance</w:t>
      </w:r>
      <w:r w:rsidR="79610E27">
        <w:t>/d</w:t>
      </w:r>
      <w:r w:rsidR="19F5E0F8">
        <w:t>é</w:t>
      </w:r>
      <w:r w:rsidR="79610E27">
        <w:t>sobsolescence</w:t>
      </w:r>
      <w:r>
        <w:t xml:space="preserve"> de ces bundles </w:t>
      </w:r>
      <w:r w:rsidR="003D6C39">
        <w:t>sera</w:t>
      </w:r>
      <w:r>
        <w:t xml:space="preserve"> intégré</w:t>
      </w:r>
      <w:r w:rsidR="00BE0AC6">
        <w:t xml:space="preserve">e </w:t>
      </w:r>
      <w:r>
        <w:t>dans la</w:t>
      </w:r>
      <w:r w:rsidR="4B6C89FC">
        <w:t xml:space="preserve"> commande de </w:t>
      </w:r>
      <w:r w:rsidR="3A5CD483">
        <w:t>Développement</w:t>
      </w:r>
      <w:r>
        <w:t>.</w:t>
      </w:r>
    </w:p>
    <w:p w14:paraId="2653709B" w14:textId="77777777" w:rsidR="006D0CF7" w:rsidRDefault="006D0CF7" w:rsidP="00D34F7D">
      <w:pPr>
        <w:jc w:val="both"/>
      </w:pPr>
      <w:r>
        <w:t>Elle fait appel à une base de données MySQL.</w:t>
      </w:r>
    </w:p>
    <w:p w14:paraId="6A13B157" w14:textId="56E9FEC3" w:rsidR="006D0CF7" w:rsidRDefault="006D0CF7" w:rsidP="00D34F7D">
      <w:pPr>
        <w:jc w:val="both"/>
      </w:pPr>
      <w:r>
        <w:t xml:space="preserve">Elle est divisée en </w:t>
      </w:r>
      <w:r w:rsidR="003D6C39">
        <w:t>plusieurs parties</w:t>
      </w:r>
      <w:r>
        <w:t> :</w:t>
      </w:r>
    </w:p>
    <w:p w14:paraId="38E9AD6C" w14:textId="51D75363" w:rsidR="003D6C39" w:rsidRDefault="006D0CF7" w:rsidP="003D6C39">
      <w:pPr>
        <w:pStyle w:val="Paragraphedeliste"/>
        <w:numPr>
          <w:ilvl w:val="0"/>
          <w:numId w:val="1"/>
        </w:numPr>
        <w:jc w:val="both"/>
      </w:pPr>
      <w:r>
        <w:t>Un back</w:t>
      </w:r>
      <w:r w:rsidR="00586352">
        <w:t xml:space="preserve"> </w:t>
      </w:r>
      <w:r>
        <w:t>office qui nécessite une mise à jour Excel annuelle</w:t>
      </w:r>
    </w:p>
    <w:p w14:paraId="2E79CA28" w14:textId="77777777" w:rsidR="006D0CF7" w:rsidRDefault="006D0CF7" w:rsidP="00D34F7D">
      <w:pPr>
        <w:pStyle w:val="Paragraphedeliste"/>
        <w:numPr>
          <w:ilvl w:val="0"/>
          <w:numId w:val="1"/>
        </w:numPr>
        <w:jc w:val="both"/>
      </w:pPr>
      <w:r>
        <w:t xml:space="preserve">Un front </w:t>
      </w:r>
      <w:r w:rsidR="00586352">
        <w:t>o</w:t>
      </w:r>
      <w:r>
        <w:t>ffice permettant à plusieurs catégories d’utilisateurs de se connecter et permettre de transmettre des informations et d’obtenir des restitutions sur les données transmises.</w:t>
      </w:r>
    </w:p>
    <w:p w14:paraId="1AE04DC9" w14:textId="2A5F4BFB" w:rsidR="003D6C39" w:rsidRDefault="003D6C39" w:rsidP="00D34F7D">
      <w:pPr>
        <w:pStyle w:val="Paragraphedeliste"/>
        <w:numPr>
          <w:ilvl w:val="0"/>
          <w:numId w:val="1"/>
        </w:numPr>
        <w:jc w:val="both"/>
      </w:pPr>
      <w:r>
        <w:lastRenderedPageBreak/>
        <w:t xml:space="preserve">Un modules .Net Core connectés par des API pour </w:t>
      </w:r>
      <w:r w:rsidR="00C0741A">
        <w:t>les exports</w:t>
      </w:r>
      <w:r>
        <w:t xml:space="preserve"> des données</w:t>
      </w:r>
    </w:p>
    <w:p w14:paraId="114D1D73" w14:textId="3E669E9A" w:rsidR="006D0CF7" w:rsidRDefault="009418EC" w:rsidP="00D34F7D">
      <w:pPr>
        <w:jc w:val="both"/>
      </w:pPr>
      <w:r>
        <w:t>Comme pour l’exemple précédent nous vous donnons directement le nombre d’UO</w:t>
      </w:r>
      <w:r w:rsidR="00A33FEF">
        <w:t xml:space="preserve"> sur lequel doit être réalisée la simulation </w:t>
      </w:r>
      <w:r w:rsidR="1A8AA2E3">
        <w:t>financière</w:t>
      </w:r>
      <w:r w:rsidR="00A33FEF">
        <w:t>.</w:t>
      </w:r>
      <w:r w:rsidR="00EA780C">
        <w:t xml:space="preserve"> </w:t>
      </w:r>
    </w:p>
    <w:p w14:paraId="566F921A" w14:textId="77777777" w:rsidR="00EA780C" w:rsidRDefault="00EA780C" w:rsidP="00D34F7D">
      <w:pPr>
        <w:jc w:val="both"/>
      </w:pPr>
      <w:r>
        <w:t>La prise en main de cette plateforme dans ses différentes composantes (back</w:t>
      </w:r>
      <w:r w:rsidR="00A33FEF">
        <w:t xml:space="preserve"> </w:t>
      </w:r>
      <w:r>
        <w:t>office et front</w:t>
      </w:r>
      <w:r w:rsidR="00C54933">
        <w:t xml:space="preserve"> </w:t>
      </w:r>
      <w:r>
        <w:t>office) est de 30 jours.</w:t>
      </w:r>
    </w:p>
    <w:p w14:paraId="1144DAAC" w14:textId="020BB432" w:rsidR="00EA780C" w:rsidRDefault="00EA780C" w:rsidP="00D34F7D">
      <w:pPr>
        <w:jc w:val="both"/>
      </w:pPr>
      <w:r>
        <w:t>La maintenance évolutive est</w:t>
      </w:r>
      <w:r w:rsidR="47F89332">
        <w:t xml:space="preserve"> destinée au</w:t>
      </w:r>
      <w:r>
        <w:t xml:space="preserve"> backoffice en Excel et </w:t>
      </w:r>
      <w:r w:rsidR="40CB5CD1">
        <w:t>aussi à un</w:t>
      </w:r>
      <w:r>
        <w:t xml:space="preserve"> front office PHP, avec une mise à jour de la base MySQL</w:t>
      </w:r>
      <w:r w:rsidR="003D6C39">
        <w:t xml:space="preserve"> par scripts</w:t>
      </w:r>
      <w:r>
        <w:t>.</w:t>
      </w:r>
      <w:r w:rsidR="4F2A8BF4">
        <w:t xml:space="preserve"> Des spécifications doivent </w:t>
      </w:r>
      <w:r w:rsidR="2C35207B">
        <w:t>ê</w:t>
      </w:r>
      <w:r w:rsidR="4F2A8BF4">
        <w:t>tre réalisé au préalable ainsi que de l’expertise ponctuelle</w:t>
      </w:r>
      <w:r w:rsidR="4D6B46F6">
        <w:t>.</w:t>
      </w:r>
    </w:p>
    <w:p w14:paraId="1985A931" w14:textId="56B219FE" w:rsidR="00266471" w:rsidRDefault="00266471" w:rsidP="00D34F7D">
      <w:pPr>
        <w:jc w:val="both"/>
      </w:pPr>
      <w:r>
        <w:t xml:space="preserve">Les éléments concernant la mise à jour sont disponibles </w:t>
      </w:r>
      <w:r w:rsidR="11C9CAB0">
        <w:t>3</w:t>
      </w:r>
      <w:r>
        <w:t>,5 mois avant la mise en production</w:t>
      </w:r>
      <w:r w:rsidR="384CF133">
        <w:t xml:space="preserve"> </w:t>
      </w:r>
      <w:r w:rsidR="3D4E41E1">
        <w:t xml:space="preserve">et doivent être livrés 3 semaines avant </w:t>
      </w:r>
      <w:r w:rsidR="384CF133">
        <w:t>pour laisser le temps à la recette.</w:t>
      </w:r>
    </w:p>
    <w:p w14:paraId="02927C99" w14:textId="53A99490" w:rsidR="00DA55B4" w:rsidRDefault="00DA55B4" w:rsidP="00DA55B4">
      <w:pPr>
        <w:jc w:val="both"/>
      </w:pPr>
      <w:r>
        <w:t xml:space="preserve">Le suivi s’effectue sur la base de réunions </w:t>
      </w:r>
      <w:r w:rsidR="5FA917AE">
        <w:t xml:space="preserve">hebdomadaires au format court </w:t>
      </w:r>
      <w:r w:rsidR="003D6C39">
        <w:t>qui pourrait être mutualisé avec d’autres dispositifs</w:t>
      </w:r>
      <w:r>
        <w:t>.</w:t>
      </w:r>
    </w:p>
    <w:p w14:paraId="3CCA0332" w14:textId="01DF4840" w:rsidR="007F62CA" w:rsidRDefault="007F62CA" w:rsidP="007F62CA">
      <w:pPr>
        <w:jc w:val="both"/>
      </w:pPr>
      <w:r>
        <w:t xml:space="preserve">Ce qui donnerait une </w:t>
      </w:r>
      <w:r w:rsidR="56189344">
        <w:t xml:space="preserve">simulation </w:t>
      </w:r>
      <w:r>
        <w:t xml:space="preserve">financière suivante pour </w:t>
      </w:r>
      <w:r w:rsidR="4A5A70D6">
        <w:t>l’intégralité su projet :</w:t>
      </w:r>
    </w:p>
    <w:tbl>
      <w:tblPr>
        <w:tblW w:w="949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992"/>
        <w:gridCol w:w="1417"/>
        <w:gridCol w:w="142"/>
        <w:gridCol w:w="1276"/>
        <w:gridCol w:w="1418"/>
        <w:gridCol w:w="1701"/>
      </w:tblGrid>
      <w:tr w:rsidR="00DE6111" w:rsidRPr="00254858" w14:paraId="03D5C72C" w14:textId="77777777" w:rsidTr="4B8CB779">
        <w:trPr>
          <w:trHeight w:val="29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A28BC" w14:textId="77777777" w:rsidR="00DE6111" w:rsidRPr="00254858" w:rsidRDefault="00DE6111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t>Prestations forfaitaires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981B2" w14:textId="77777777" w:rsidR="00DE6111" w:rsidRPr="00254858" w:rsidRDefault="00DE6111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t>Unité d’œuvre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5FB18" w14:textId="58499DEB" w:rsidR="00DE6111" w:rsidRPr="00254858" w:rsidRDefault="00DE6111" w:rsidP="135188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t xml:space="preserve">Nombre d’UO </w:t>
            </w:r>
          </w:p>
          <w:p w14:paraId="142EC06A" w14:textId="1ACC5470" w:rsidR="00DE6111" w:rsidRPr="00254858" w:rsidRDefault="5D6F5502" w:rsidP="135188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t>(journées)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17BDB" w14:textId="306DD327" w:rsidR="00DE6111" w:rsidRPr="00254858" w:rsidRDefault="00DE6111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t>Forfait par réunion en € HT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5380" w14:textId="3E2CB779" w:rsidR="00DE6111" w:rsidRPr="00254858" w:rsidRDefault="00941A7F" w:rsidP="006E43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  <w:t xml:space="preserve">Montant total </w:t>
            </w:r>
            <w:r w:rsidR="00DE6111" w:rsidRPr="00CA57D3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  <w:t>en €</w:t>
            </w:r>
            <w:r w:rsidR="00DE6111" w:rsidRPr="00254858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  <w:t xml:space="preserve"> HT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5589F" w14:textId="48A40788" w:rsidR="00DE6111" w:rsidRPr="00254858" w:rsidRDefault="00DE6111" w:rsidP="135188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DE6111" w:rsidRPr="00254858" w14:paraId="0FF5DC64" w14:textId="77777777" w:rsidTr="4B8CB779">
        <w:trPr>
          <w:trHeight w:val="4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69CC1" w14:textId="002BDB5E" w:rsidR="00DE6111" w:rsidRPr="00254858" w:rsidRDefault="45D0870A" w:rsidP="3D8C7E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t>Initialisation et cadrage de projets de développement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873AE" w14:textId="57C1BE4D" w:rsidR="00DE6111" w:rsidRPr="00254858" w:rsidRDefault="00DE6111" w:rsidP="4B8CB7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t>UO</w:t>
            </w: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-</w:t>
            </w:r>
            <w:r w:rsidR="2D653235"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DEV-01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1D0BC" w14:textId="77777777" w:rsidR="00DE6111" w:rsidRPr="00254858" w:rsidRDefault="00DE6111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 xml:space="preserve">6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A8C57" w14:textId="0968FC40" w:rsidR="00DE6111" w:rsidRPr="00254858" w:rsidRDefault="00DE6111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6ACF0" w14:textId="77777777" w:rsidR="00DE6111" w:rsidRPr="00254858" w:rsidRDefault="00DE6111" w:rsidP="006E43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54A08" w14:textId="77777777" w:rsidR="00DE6111" w:rsidRPr="00254858" w:rsidRDefault="00DE6111" w:rsidP="006E43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</w:tr>
      <w:tr w:rsidR="00505207" w:rsidRPr="00254858" w14:paraId="629CF43A" w14:textId="77777777" w:rsidTr="4B8CB779">
        <w:trPr>
          <w:trHeight w:val="518"/>
        </w:trPr>
        <w:tc>
          <w:tcPr>
            <w:tcW w:w="6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4A6BE" w14:textId="77777777" w:rsidR="00505207" w:rsidRPr="00C75BCC" w:rsidRDefault="00505207" w:rsidP="4B8CB7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t>Montant total pour la réalisation des prestations forfaitaires en € HT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DACA0" w14:textId="77777777" w:rsidR="00505207" w:rsidRPr="00254858" w:rsidRDefault="00505207" w:rsidP="006E4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5BE45BA7" w14:textId="77777777" w:rsidR="00505207" w:rsidRPr="00254858" w:rsidRDefault="00505207" w:rsidP="006E4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505207" w:rsidRPr="00254858" w14:paraId="6DE0CF6D" w14:textId="77777777" w:rsidTr="4B8CB779">
        <w:trPr>
          <w:trHeight w:val="518"/>
        </w:trPr>
        <w:tc>
          <w:tcPr>
            <w:tcW w:w="2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5237C0" w14:textId="77777777" w:rsidR="00505207" w:rsidRPr="00254858" w:rsidRDefault="00505207" w:rsidP="4B8CB7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31A30D" w14:textId="77777777" w:rsidR="00505207" w:rsidRPr="00254858" w:rsidRDefault="00505207" w:rsidP="006E4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4935EA" w14:textId="77777777" w:rsidR="00505207" w:rsidRPr="00254858" w:rsidRDefault="00505207" w:rsidP="006E4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9A62627" w14:textId="77777777" w:rsidR="00505207" w:rsidRPr="00254858" w:rsidRDefault="00505207" w:rsidP="006E4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6127F56" w14:textId="77777777" w:rsidR="00505207" w:rsidRPr="00254858" w:rsidRDefault="00505207" w:rsidP="006E4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EABBF91" w14:textId="77777777" w:rsidR="00505207" w:rsidRPr="00254858" w:rsidRDefault="00505207" w:rsidP="006E4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505207" w:rsidRPr="00254858" w14:paraId="2108786E" w14:textId="77777777" w:rsidTr="4B8CB779">
        <w:trPr>
          <w:trHeight w:val="5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279D0" w14:textId="77777777" w:rsidR="00505207" w:rsidRPr="00254858" w:rsidRDefault="00505207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t>Prestations journalières forfaitisées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80C15" w14:textId="77777777" w:rsidR="00505207" w:rsidRPr="00254858" w:rsidRDefault="00505207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t>Unité d'œuvre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47493" w14:textId="77777777" w:rsidR="00505207" w:rsidRPr="00254858" w:rsidRDefault="00505207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t>Nombre d'UO (journées)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8D116" w14:textId="77777777" w:rsidR="00505207" w:rsidRPr="00254858" w:rsidRDefault="00505207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t>Prix journalier en € HT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A4735" w14:textId="77777777" w:rsidR="00505207" w:rsidRPr="00254858" w:rsidRDefault="00505207" w:rsidP="006E43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</w:pPr>
            <w:r w:rsidRPr="007A3642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  <w:t>Montant total en € HT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A8CCE" w14:textId="3EAE7E44" w:rsidR="00505207" w:rsidRPr="00254858" w:rsidRDefault="00505207" w:rsidP="135188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505207" w:rsidRPr="00254858" w14:paraId="137FCE3E" w14:textId="77777777" w:rsidTr="4B8CB779">
        <w:trPr>
          <w:trHeight w:val="55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ECE4" w14:textId="7FF0CED7" w:rsidR="00505207" w:rsidRPr="00254858" w:rsidRDefault="645C93D9" w:rsidP="3D8C7E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t>Spécifications</w:t>
            </w:r>
          </w:p>
          <w:p w14:paraId="5D00D346" w14:textId="115DDB6D" w:rsidR="00505207" w:rsidRPr="00254858" w:rsidRDefault="00505207" w:rsidP="3D8C7E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610EE" w14:textId="472EDEEE" w:rsidR="00505207" w:rsidRPr="00254858" w:rsidRDefault="7BCDE1CC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UO-</w:t>
            </w:r>
            <w:r w:rsidR="218D30FE"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DEV-02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42E88" w14:textId="77777777" w:rsidR="00505207" w:rsidRPr="00254858" w:rsidRDefault="00505207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A20D3" w14:textId="77777777" w:rsidR="00505207" w:rsidRPr="00254858" w:rsidRDefault="00505207" w:rsidP="4B8CB7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A1D97" w14:textId="77777777" w:rsidR="00505207" w:rsidRPr="00254858" w:rsidRDefault="00505207" w:rsidP="006E43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DE2BA" w14:textId="77777777" w:rsidR="00505207" w:rsidRPr="00254858" w:rsidRDefault="00505207" w:rsidP="006E43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</w:tr>
      <w:tr w:rsidR="00505207" w:rsidRPr="00254858" w14:paraId="2FF05054" w14:textId="77777777" w:rsidTr="4B8CB779">
        <w:trPr>
          <w:trHeight w:val="5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4E1D" w14:textId="7E94CB40" w:rsidR="00505207" w:rsidRPr="00B57C6C" w:rsidRDefault="3C84B32A" w:rsidP="4B8CB7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t>Développement et recette</w:t>
            </w:r>
          </w:p>
          <w:p w14:paraId="2917DDBE" w14:textId="584918E9" w:rsidR="00505207" w:rsidRPr="00254858" w:rsidRDefault="00505207" w:rsidP="3D8C7E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284DD" w14:textId="6C2B1D56" w:rsidR="00505207" w:rsidRPr="00254858" w:rsidRDefault="7BCDE1CC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UO-</w:t>
            </w:r>
            <w:r w:rsidR="41E0695F"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DEV-0</w:t>
            </w: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FC6A9" w14:textId="3CBA2972" w:rsidR="00505207" w:rsidRPr="00254858" w:rsidRDefault="00C0741A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519F6" w14:textId="77777777" w:rsidR="00505207" w:rsidRPr="00254858" w:rsidRDefault="00505207" w:rsidP="4B8CB7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1C0AB" w14:textId="77777777" w:rsidR="00505207" w:rsidRPr="00254858" w:rsidRDefault="00505207" w:rsidP="006E43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932D8" w14:textId="77777777" w:rsidR="00505207" w:rsidRPr="00254858" w:rsidRDefault="00505207" w:rsidP="006E43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</w:tr>
      <w:tr w:rsidR="006A6C9A" w:rsidRPr="00254858" w14:paraId="7CB4EB22" w14:textId="77777777" w:rsidTr="4B8CB779">
        <w:trPr>
          <w:trHeight w:val="59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8794F" w14:textId="159A4FC3" w:rsidR="006A6C9A" w:rsidRPr="4B8CB779" w:rsidRDefault="006A6C9A" w:rsidP="4B8CB7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</w:pPr>
            <w:r w:rsidRPr="006A6C9A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t>Assistance à la maitrise d’ouvrage AMOA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33299ED" w14:textId="05E51774" w:rsidR="006A6C9A" w:rsidRPr="4B8CB779" w:rsidRDefault="006A6C9A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</w:pPr>
            <w:r w:rsidRPr="006A6C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UO-DEV-07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747E4DB" w14:textId="5AA23132" w:rsidR="006A6C9A" w:rsidRPr="4B8CB779" w:rsidRDefault="006A6C9A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34B2C" w14:textId="77777777" w:rsidR="006A6C9A" w:rsidRPr="00254858" w:rsidRDefault="006A6C9A" w:rsidP="4B8CB7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7B7DE" w14:textId="77777777" w:rsidR="006A6C9A" w:rsidRPr="00254858" w:rsidRDefault="006A6C9A" w:rsidP="006E43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5943E" w14:textId="77777777" w:rsidR="006A6C9A" w:rsidRPr="00254858" w:rsidRDefault="006A6C9A" w:rsidP="006E43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</w:tr>
      <w:tr w:rsidR="006A6C9A" w:rsidRPr="00254858" w14:paraId="4F806D62" w14:textId="77777777" w:rsidTr="4B8CB779">
        <w:trPr>
          <w:trHeight w:val="59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9C01E" w14:textId="1A11E380" w:rsidR="006A6C9A" w:rsidRPr="4B8CB779" w:rsidRDefault="006A6C9A" w:rsidP="4B8CB7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</w:pPr>
            <w:r w:rsidRPr="006A6C9A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t>Expert UX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D0C246D" w14:textId="02553654" w:rsidR="006A6C9A" w:rsidRPr="4B8CB779" w:rsidRDefault="006A6C9A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</w:pPr>
            <w:r w:rsidRPr="006A6C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UO-DEV-09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5DE4828" w14:textId="3A2B7EDE" w:rsidR="006A6C9A" w:rsidRPr="4B8CB779" w:rsidRDefault="006A6C9A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30937" w14:textId="77777777" w:rsidR="006A6C9A" w:rsidRPr="00254858" w:rsidRDefault="006A6C9A" w:rsidP="4B8CB7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53EEC" w14:textId="77777777" w:rsidR="006A6C9A" w:rsidRPr="00254858" w:rsidRDefault="006A6C9A" w:rsidP="006E43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BC990" w14:textId="77777777" w:rsidR="006A6C9A" w:rsidRPr="00254858" w:rsidRDefault="006A6C9A" w:rsidP="006E43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</w:tr>
      <w:tr w:rsidR="00505207" w:rsidRPr="00254858" w14:paraId="66CC8157" w14:textId="77777777" w:rsidTr="4B8CB779">
        <w:trPr>
          <w:trHeight w:val="59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C288" w14:textId="3DDF5854" w:rsidR="00505207" w:rsidRPr="00B57C6C" w:rsidRDefault="1C0E151B" w:rsidP="4B8CB7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t>Expertise ponctuelle</w:t>
            </w:r>
          </w:p>
          <w:p w14:paraId="31466169" w14:textId="687759B6" w:rsidR="00505207" w:rsidRPr="00254858" w:rsidRDefault="00505207" w:rsidP="3D8C7E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3CA24" w14:textId="4D115404" w:rsidR="00505207" w:rsidRPr="00254858" w:rsidRDefault="7BCDE1CC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UO-</w:t>
            </w:r>
            <w:r w:rsidR="59D1CE12"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DEV-0</w:t>
            </w: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EAE7B" w14:textId="0A6D7037" w:rsidR="00505207" w:rsidRPr="00254858" w:rsidRDefault="00C0741A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871A3" w14:textId="77777777" w:rsidR="00505207" w:rsidRPr="00254858" w:rsidRDefault="00505207" w:rsidP="4B8CB7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C4298" w14:textId="77777777" w:rsidR="00505207" w:rsidRPr="00254858" w:rsidRDefault="00505207" w:rsidP="006E43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3ACE4" w14:textId="77777777" w:rsidR="00505207" w:rsidRPr="00254858" w:rsidRDefault="00505207" w:rsidP="006E43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</w:tr>
      <w:tr w:rsidR="00505207" w:rsidRPr="00254858" w14:paraId="0395B9A1" w14:textId="77777777" w:rsidTr="4B8CB779">
        <w:trPr>
          <w:trHeight w:val="590"/>
        </w:trPr>
        <w:tc>
          <w:tcPr>
            <w:tcW w:w="6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AD0A1" w14:textId="77777777" w:rsidR="00505207" w:rsidRPr="00C75BCC" w:rsidRDefault="00505207" w:rsidP="4B8CB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t>Montant total pour la réalisation des prestations journalières forfaitisées en € HT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28B27" w14:textId="77777777" w:rsidR="00505207" w:rsidRPr="00254858" w:rsidRDefault="00505207" w:rsidP="006E4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4B5128C4" w14:textId="77777777" w:rsidR="00505207" w:rsidRPr="00254858" w:rsidRDefault="00505207" w:rsidP="006E4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505207" w:rsidRPr="00254858" w14:paraId="1D3E68CB" w14:textId="77777777" w:rsidTr="4B8CB779">
        <w:trPr>
          <w:trHeight w:val="590"/>
        </w:trPr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FF0179" w14:textId="2801B39A" w:rsidR="00505207" w:rsidRPr="00254858" w:rsidRDefault="00505207" w:rsidP="4B8CB7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t xml:space="preserve">Pour les demandes d'évolution </w:t>
            </w:r>
            <w:r w:rsidR="00C0741A" w:rsidRPr="4B8CB779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t>/ projets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E84A56" w14:textId="77777777" w:rsidR="00505207" w:rsidRPr="00254858" w:rsidRDefault="00505207" w:rsidP="4B8CB7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7894BE" w14:textId="77777777" w:rsidR="00505207" w:rsidRPr="00254858" w:rsidRDefault="00505207" w:rsidP="006E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F0C25" w14:textId="77777777" w:rsidR="00505207" w:rsidRPr="00254858" w:rsidRDefault="00505207" w:rsidP="006E4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1E074" w14:textId="77777777" w:rsidR="00505207" w:rsidRPr="00254858" w:rsidRDefault="00505207" w:rsidP="006E4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C831B" w14:textId="77777777" w:rsidR="00505207" w:rsidRPr="00254858" w:rsidRDefault="00505207" w:rsidP="006E4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505207" w:rsidRPr="00254858" w14:paraId="3E4DA067" w14:textId="77777777" w:rsidTr="4B8CB779">
        <w:trPr>
          <w:trHeight w:val="59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7003F" w14:textId="77777777" w:rsidR="00505207" w:rsidRPr="00254858" w:rsidRDefault="00505207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t>Prestations journalières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5C30" w14:textId="77777777" w:rsidR="00505207" w:rsidRPr="00254858" w:rsidRDefault="00505207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t>Unité d'œuvre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A551C" w14:textId="77777777" w:rsidR="00505207" w:rsidRPr="00254858" w:rsidRDefault="00505207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t>Nombre d'UO (journées)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FEB70" w14:textId="77777777" w:rsidR="00505207" w:rsidRPr="00254858" w:rsidRDefault="00505207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t>Prix journalier en €HT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8007A" w14:textId="77777777" w:rsidR="00505207" w:rsidRPr="00254858" w:rsidRDefault="00505207" w:rsidP="006E43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</w:pPr>
            <w:r w:rsidRPr="007A3642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  <w:t>Montant total en € HT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72B86" w14:textId="2CD10D53" w:rsidR="00505207" w:rsidRPr="00254858" w:rsidRDefault="00505207" w:rsidP="135188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C0741A" w:rsidRPr="00254858" w14:paraId="52FBCD17" w14:textId="77777777" w:rsidTr="4B8CB779">
        <w:trPr>
          <w:trHeight w:val="6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ED2A5" w14:textId="567778C6" w:rsidR="00C0741A" w:rsidRPr="00254858" w:rsidRDefault="7928F686" w:rsidP="3D8C7E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t>Réalisation des tests logiciels et livraison des résultats associés</w:t>
            </w:r>
          </w:p>
          <w:p w14:paraId="430F5879" w14:textId="1FA8F36E" w:rsidR="00C0741A" w:rsidRPr="00254858" w:rsidRDefault="00C0741A" w:rsidP="3D8C7E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1F79E" w14:textId="6AF8E3E5" w:rsidR="00C0741A" w:rsidRPr="00254858" w:rsidRDefault="00C0741A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UO-</w:t>
            </w:r>
            <w:r w:rsidR="2F8C2CAE"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DEV-0</w:t>
            </w: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54430" w14:textId="77777777" w:rsidR="00C0741A" w:rsidRPr="00254858" w:rsidRDefault="00C0741A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5AC79" w14:textId="77777777" w:rsidR="00C0741A" w:rsidRPr="00254858" w:rsidRDefault="00C0741A" w:rsidP="4B8CB7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658ED" w14:textId="77777777" w:rsidR="00C0741A" w:rsidRPr="00254858" w:rsidRDefault="00C0741A" w:rsidP="00C074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E5410" w14:textId="77777777" w:rsidR="00C0741A" w:rsidRPr="00254858" w:rsidRDefault="00C0741A" w:rsidP="00C074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</w:tr>
      <w:tr w:rsidR="00C0741A" w:rsidRPr="00254858" w14:paraId="563E4EF6" w14:textId="77777777" w:rsidTr="4B8CB779">
        <w:trPr>
          <w:trHeight w:val="5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BFFE3" w14:textId="4E3E3700" w:rsidR="00C0741A" w:rsidRPr="00B57C6C" w:rsidRDefault="79A7D02B" w:rsidP="4B8CB7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t>Pilotage, Suivi et chefferie de projet de développement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48979" w14:textId="1E63D83D" w:rsidR="00C0741A" w:rsidRPr="007A3642" w:rsidRDefault="00C0741A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UO-</w:t>
            </w:r>
            <w:r w:rsidR="3E1ADF33"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DEV-0</w:t>
            </w:r>
            <w:r w:rsidR="00FD1E1D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AB0E9" w14:textId="3FF25774" w:rsidR="00C0741A" w:rsidRPr="00254858" w:rsidRDefault="00C0741A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1BF32" w14:textId="77777777" w:rsidR="00C0741A" w:rsidRPr="00254858" w:rsidRDefault="00C0741A" w:rsidP="4B8CB7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0D839" w14:textId="77777777" w:rsidR="00C0741A" w:rsidRPr="00254858" w:rsidRDefault="00C0741A" w:rsidP="00C074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3F4AD" w14:textId="77777777" w:rsidR="00C0741A" w:rsidRPr="00254858" w:rsidRDefault="00C0741A" w:rsidP="00C074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</w:tr>
      <w:tr w:rsidR="00C0741A" w:rsidRPr="00254858" w14:paraId="5E2EDF6A" w14:textId="77777777" w:rsidTr="4B8CB779">
        <w:trPr>
          <w:trHeight w:val="5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7DF0C" w14:textId="06869E86" w:rsidR="00C0741A" w:rsidRPr="00B57C6C" w:rsidRDefault="718F69AC" w:rsidP="4B8CB7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fr-FR"/>
              </w:rPr>
              <w:lastRenderedPageBreak/>
              <w:t>Transfert de compétences techniques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49438" w14:textId="6D9E1212" w:rsidR="00C0741A" w:rsidRPr="007A3642" w:rsidRDefault="00C0741A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UO-</w:t>
            </w:r>
            <w:r w:rsidR="012836CB"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DEV-0</w:t>
            </w:r>
            <w:r w:rsidR="00FD1E1D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FF69" w14:textId="77777777" w:rsidR="00C0741A" w:rsidRPr="00254858" w:rsidRDefault="00C0741A" w:rsidP="4B8CB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13B88" w14:textId="77777777" w:rsidR="00C0741A" w:rsidRPr="00254858" w:rsidRDefault="00C0741A" w:rsidP="4B8CB7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4B8CB779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5A8D3" w14:textId="77777777" w:rsidR="00C0741A" w:rsidRPr="00254858" w:rsidRDefault="00C0741A" w:rsidP="00C074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  <w:r w:rsidRPr="00254858"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A6705" w14:textId="7E079648" w:rsidR="00C0741A" w:rsidRPr="00254858" w:rsidRDefault="00C0741A" w:rsidP="135188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</w:p>
        </w:tc>
      </w:tr>
      <w:tr w:rsidR="00505207" w:rsidRPr="00254858" w14:paraId="3A549577" w14:textId="77777777" w:rsidTr="4B8CB779">
        <w:trPr>
          <w:trHeight w:val="580"/>
        </w:trPr>
        <w:tc>
          <w:tcPr>
            <w:tcW w:w="6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DD2FA" w14:textId="77777777" w:rsidR="00505207" w:rsidRPr="00C75BCC" w:rsidRDefault="00505207" w:rsidP="006E433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lang w:eastAsia="fr-FR"/>
              </w:rPr>
            </w:pPr>
            <w:r w:rsidRPr="00C75BCC">
              <w:rPr>
                <w:rFonts w:ascii="Calibri" w:eastAsia="Times New Roman" w:hAnsi="Calibri" w:cs="Calibri"/>
                <w:b/>
                <w:color w:val="000000"/>
                <w:sz w:val="18"/>
                <w:lang w:eastAsia="fr-FR"/>
              </w:rPr>
              <w:t>Montant total pour la réalisation des prestations journalières en € HT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3A91F" w14:textId="77777777" w:rsidR="00505207" w:rsidRPr="00254858" w:rsidRDefault="00505207" w:rsidP="006E43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380BDE1B" w14:textId="77777777" w:rsidR="00505207" w:rsidRPr="00254858" w:rsidRDefault="00505207" w:rsidP="006E43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</w:tr>
      <w:tr w:rsidR="00505207" w:rsidRPr="00254858" w14:paraId="0C0038D3" w14:textId="77777777" w:rsidTr="4B8CB779">
        <w:trPr>
          <w:trHeight w:val="580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F6C009" w14:textId="77777777" w:rsidR="00505207" w:rsidRPr="00CA57D3" w:rsidRDefault="00505207" w:rsidP="006E43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31EFE2" w14:textId="77777777" w:rsidR="00505207" w:rsidRPr="00254858" w:rsidRDefault="00505207" w:rsidP="006E43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CCB068" w14:textId="77777777" w:rsidR="00505207" w:rsidRPr="00254858" w:rsidRDefault="00505207" w:rsidP="006E43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F98508E" w14:textId="77777777" w:rsidR="00505207" w:rsidRPr="00254858" w:rsidRDefault="00505207" w:rsidP="006E43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157626E" w14:textId="77777777" w:rsidR="00505207" w:rsidRPr="00254858" w:rsidRDefault="00505207" w:rsidP="006E43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67DFC3" w14:textId="77777777" w:rsidR="00505207" w:rsidRPr="00254858" w:rsidRDefault="00505207" w:rsidP="006E43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</w:tr>
      <w:tr w:rsidR="00505207" w:rsidRPr="00254858" w14:paraId="768F53A0" w14:textId="77777777" w:rsidTr="4B8CB779">
        <w:trPr>
          <w:trHeight w:val="580"/>
        </w:trPr>
        <w:tc>
          <w:tcPr>
            <w:tcW w:w="6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0A93A" w14:textId="40B49DD6" w:rsidR="00505207" w:rsidRPr="00C75BCC" w:rsidRDefault="00505207" w:rsidP="006E433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lang w:eastAsia="fr-FR"/>
              </w:rPr>
            </w:pPr>
            <w:r w:rsidRPr="00C75BCC">
              <w:rPr>
                <w:rFonts w:ascii="Calibri" w:eastAsia="Times New Roman" w:hAnsi="Calibri" w:cs="Calibri"/>
                <w:b/>
                <w:color w:val="000000"/>
                <w:sz w:val="18"/>
                <w:lang w:eastAsia="fr-FR"/>
              </w:rPr>
              <w:t>Montant total</w:t>
            </w:r>
            <w:r w:rsidR="00206304">
              <w:rPr>
                <w:rFonts w:ascii="Calibri" w:eastAsia="Times New Roman" w:hAnsi="Calibri" w:cs="Calibri"/>
                <w:b/>
                <w:color w:val="000000"/>
                <w:sz w:val="18"/>
                <w:lang w:eastAsia="fr-FR"/>
              </w:rPr>
              <w:t xml:space="preserve"> de la simulation n°2</w:t>
            </w:r>
            <w:r w:rsidRPr="00C75BCC">
              <w:rPr>
                <w:rFonts w:ascii="Calibri" w:eastAsia="Times New Roman" w:hAnsi="Calibri" w:cs="Calibri"/>
                <w:b/>
                <w:color w:val="000000"/>
                <w:sz w:val="18"/>
                <w:lang w:eastAsia="fr-FR"/>
              </w:rPr>
              <w:t xml:space="preserve"> pour la réalisation de tous les types de prestations en € HT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90736" w14:textId="77777777" w:rsidR="00505207" w:rsidRPr="00254858" w:rsidRDefault="00505207" w:rsidP="006E43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3456873F" w14:textId="77777777" w:rsidR="00505207" w:rsidRPr="00254858" w:rsidRDefault="00505207" w:rsidP="006E43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</w:tr>
    </w:tbl>
    <w:p w14:paraId="4B783056" w14:textId="3384307B" w:rsidR="00266471" w:rsidRDefault="00266471" w:rsidP="00D34F7D"/>
    <w:p w14:paraId="67B563B4" w14:textId="211193ED" w:rsidR="00206304" w:rsidRPr="00206304" w:rsidRDefault="00206304" w:rsidP="4B8CB779">
      <w:pPr>
        <w:rPr>
          <w:b/>
          <w:bCs/>
          <w:u w:val="single"/>
        </w:rPr>
      </w:pPr>
      <w:r w:rsidRPr="4B8CB779">
        <w:rPr>
          <w:b/>
          <w:bCs/>
          <w:u w:val="single"/>
        </w:rPr>
        <w:t>Montant total</w:t>
      </w:r>
      <w:r w:rsidR="1611FBD2" w:rsidRPr="4B8CB779">
        <w:rPr>
          <w:b/>
          <w:bCs/>
          <w:u w:val="single"/>
        </w:rPr>
        <w:t xml:space="preserve"> général (pris en compte pour l’analyse des offres)</w:t>
      </w:r>
    </w:p>
    <w:tbl>
      <w:tblPr>
        <w:tblW w:w="949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65"/>
        <w:gridCol w:w="1728"/>
      </w:tblGrid>
      <w:tr w:rsidR="00206304" w:rsidRPr="00254858" w14:paraId="428A38A1" w14:textId="77777777" w:rsidTr="00E21A6B">
        <w:trPr>
          <w:trHeight w:val="58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C3361" w14:textId="3643F7EC" w:rsidR="00206304" w:rsidRPr="00C75BCC" w:rsidRDefault="00206304" w:rsidP="00E21A6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lang w:eastAsia="fr-FR"/>
              </w:rPr>
            </w:pPr>
            <w:r w:rsidRPr="00C75BCC">
              <w:rPr>
                <w:rFonts w:ascii="Calibri" w:eastAsia="Times New Roman" w:hAnsi="Calibri" w:cs="Calibri"/>
                <w:b/>
                <w:color w:val="000000"/>
                <w:sz w:val="18"/>
                <w:lang w:eastAsia="fr-FR"/>
              </w:rPr>
              <w:t>Montant total</w:t>
            </w:r>
            <w:r>
              <w:rPr>
                <w:rFonts w:ascii="Calibri" w:eastAsia="Times New Roman" w:hAnsi="Calibri" w:cs="Calibri"/>
                <w:b/>
                <w:color w:val="000000"/>
                <w:sz w:val="18"/>
                <w:lang w:eastAsia="fr-FR"/>
              </w:rPr>
              <w:t xml:space="preserve"> en € HT correspondant à la somme du montant total en € HT de la simulation n°1 et du montant total en € HT de la simulation n°2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BF95D" w14:textId="77777777" w:rsidR="00206304" w:rsidRPr="00254858" w:rsidRDefault="00206304" w:rsidP="00E2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</w:p>
        </w:tc>
      </w:tr>
    </w:tbl>
    <w:p w14:paraId="37D9DC40" w14:textId="77777777" w:rsidR="00206304" w:rsidRDefault="00206304" w:rsidP="00D34F7D"/>
    <w:sectPr w:rsidR="00206304" w:rsidSect="006D3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DBC"/>
    <w:multiLevelType w:val="hybridMultilevel"/>
    <w:tmpl w:val="55B8E9C2"/>
    <w:lvl w:ilvl="0" w:tplc="12DE25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4638D"/>
    <w:multiLevelType w:val="hybridMultilevel"/>
    <w:tmpl w:val="7058643C"/>
    <w:lvl w:ilvl="0" w:tplc="183865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EF2113"/>
    <w:multiLevelType w:val="hybridMultilevel"/>
    <w:tmpl w:val="4C328C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702"/>
    <w:rsid w:val="00002AB1"/>
    <w:rsid w:val="00006C46"/>
    <w:rsid w:val="00015429"/>
    <w:rsid w:val="00024BA9"/>
    <w:rsid w:val="0003478D"/>
    <w:rsid w:val="0009748B"/>
    <w:rsid w:val="001239C9"/>
    <w:rsid w:val="00206304"/>
    <w:rsid w:val="00233E3C"/>
    <w:rsid w:val="00254858"/>
    <w:rsid w:val="00266471"/>
    <w:rsid w:val="00280729"/>
    <w:rsid w:val="002D45A0"/>
    <w:rsid w:val="00350E25"/>
    <w:rsid w:val="00376F5D"/>
    <w:rsid w:val="003871C4"/>
    <w:rsid w:val="003D6C39"/>
    <w:rsid w:val="00416339"/>
    <w:rsid w:val="004609A2"/>
    <w:rsid w:val="004C4D36"/>
    <w:rsid w:val="00505207"/>
    <w:rsid w:val="00563133"/>
    <w:rsid w:val="00586352"/>
    <w:rsid w:val="005D072D"/>
    <w:rsid w:val="005F48D4"/>
    <w:rsid w:val="00626AE4"/>
    <w:rsid w:val="00670F6E"/>
    <w:rsid w:val="006A6C9A"/>
    <w:rsid w:val="006B0322"/>
    <w:rsid w:val="006D0CF7"/>
    <w:rsid w:val="006D34AA"/>
    <w:rsid w:val="006E0EE0"/>
    <w:rsid w:val="00767CB7"/>
    <w:rsid w:val="007A3642"/>
    <w:rsid w:val="007B2BE0"/>
    <w:rsid w:val="007F36BA"/>
    <w:rsid w:val="007F62CA"/>
    <w:rsid w:val="008450E0"/>
    <w:rsid w:val="008D76DA"/>
    <w:rsid w:val="008E54BD"/>
    <w:rsid w:val="009418EC"/>
    <w:rsid w:val="00941A7F"/>
    <w:rsid w:val="00990519"/>
    <w:rsid w:val="009E3B8D"/>
    <w:rsid w:val="009F38C2"/>
    <w:rsid w:val="009F5AF8"/>
    <w:rsid w:val="00A33FEF"/>
    <w:rsid w:val="00B11D38"/>
    <w:rsid w:val="00B27702"/>
    <w:rsid w:val="00B57C6C"/>
    <w:rsid w:val="00B907AF"/>
    <w:rsid w:val="00BB5FA9"/>
    <w:rsid w:val="00BE0AC6"/>
    <w:rsid w:val="00C0741A"/>
    <w:rsid w:val="00C54933"/>
    <w:rsid w:val="00C71D26"/>
    <w:rsid w:val="00C75BCC"/>
    <w:rsid w:val="00CA57D3"/>
    <w:rsid w:val="00D34F7D"/>
    <w:rsid w:val="00D5101E"/>
    <w:rsid w:val="00D878B4"/>
    <w:rsid w:val="00DA55B4"/>
    <w:rsid w:val="00DE6111"/>
    <w:rsid w:val="00DE752D"/>
    <w:rsid w:val="00DF3A9B"/>
    <w:rsid w:val="00EA780C"/>
    <w:rsid w:val="00EB373D"/>
    <w:rsid w:val="00F13514"/>
    <w:rsid w:val="00F36047"/>
    <w:rsid w:val="00F546E1"/>
    <w:rsid w:val="00FD1E1D"/>
    <w:rsid w:val="00FF15D3"/>
    <w:rsid w:val="00FF2D32"/>
    <w:rsid w:val="011A6743"/>
    <w:rsid w:val="012836CB"/>
    <w:rsid w:val="01354AFA"/>
    <w:rsid w:val="02A3913B"/>
    <w:rsid w:val="03621630"/>
    <w:rsid w:val="0589719C"/>
    <w:rsid w:val="05F8DA35"/>
    <w:rsid w:val="060092FE"/>
    <w:rsid w:val="0628B0F1"/>
    <w:rsid w:val="0B27B61F"/>
    <w:rsid w:val="0B321067"/>
    <w:rsid w:val="0B3B1F3F"/>
    <w:rsid w:val="0BBD79A8"/>
    <w:rsid w:val="0D2D86EA"/>
    <w:rsid w:val="0D9D82B0"/>
    <w:rsid w:val="1013C414"/>
    <w:rsid w:val="101F28E4"/>
    <w:rsid w:val="107EEF69"/>
    <w:rsid w:val="10F8A171"/>
    <w:rsid w:val="11557A40"/>
    <w:rsid w:val="11C9CAB0"/>
    <w:rsid w:val="1351881B"/>
    <w:rsid w:val="1611FBD2"/>
    <w:rsid w:val="16BAE1BF"/>
    <w:rsid w:val="17445FD7"/>
    <w:rsid w:val="185355D4"/>
    <w:rsid w:val="19F5E0F8"/>
    <w:rsid w:val="1A8AA2E3"/>
    <w:rsid w:val="1BC3251C"/>
    <w:rsid w:val="1C0E151B"/>
    <w:rsid w:val="1D677297"/>
    <w:rsid w:val="1F4245E1"/>
    <w:rsid w:val="20BFDC07"/>
    <w:rsid w:val="2132AEE6"/>
    <w:rsid w:val="218D30FE"/>
    <w:rsid w:val="21D4B905"/>
    <w:rsid w:val="24C099B9"/>
    <w:rsid w:val="2515D86F"/>
    <w:rsid w:val="261B9DD8"/>
    <w:rsid w:val="272554D1"/>
    <w:rsid w:val="299DC00F"/>
    <w:rsid w:val="2A7EDE9E"/>
    <w:rsid w:val="2A8292E5"/>
    <w:rsid w:val="2BBBA3F7"/>
    <w:rsid w:val="2C35207B"/>
    <w:rsid w:val="2CF4F1D4"/>
    <w:rsid w:val="2D653235"/>
    <w:rsid w:val="2EB58E27"/>
    <w:rsid w:val="2F8C2CAE"/>
    <w:rsid w:val="2FBB6E3F"/>
    <w:rsid w:val="32D17DD5"/>
    <w:rsid w:val="3488BE4A"/>
    <w:rsid w:val="384CF133"/>
    <w:rsid w:val="38BF7784"/>
    <w:rsid w:val="3973CC21"/>
    <w:rsid w:val="3A2B2FA5"/>
    <w:rsid w:val="3A5CD483"/>
    <w:rsid w:val="3B5077F6"/>
    <w:rsid w:val="3BCB760E"/>
    <w:rsid w:val="3C84B32A"/>
    <w:rsid w:val="3D4E41E1"/>
    <w:rsid w:val="3D8C7E38"/>
    <w:rsid w:val="3E1ADF33"/>
    <w:rsid w:val="3F173D6F"/>
    <w:rsid w:val="3FEFBBC1"/>
    <w:rsid w:val="40CB5CD1"/>
    <w:rsid w:val="41E0695F"/>
    <w:rsid w:val="43112B19"/>
    <w:rsid w:val="43372F5A"/>
    <w:rsid w:val="44CFA022"/>
    <w:rsid w:val="45D0870A"/>
    <w:rsid w:val="46991E5B"/>
    <w:rsid w:val="4747B8FC"/>
    <w:rsid w:val="47F89332"/>
    <w:rsid w:val="48072625"/>
    <w:rsid w:val="49FED58E"/>
    <w:rsid w:val="4A45F83B"/>
    <w:rsid w:val="4A5A70D6"/>
    <w:rsid w:val="4B6C89FC"/>
    <w:rsid w:val="4B8CB779"/>
    <w:rsid w:val="4C02126F"/>
    <w:rsid w:val="4D6B46F6"/>
    <w:rsid w:val="4F2A8BF4"/>
    <w:rsid w:val="50A3C243"/>
    <w:rsid w:val="513732D1"/>
    <w:rsid w:val="51AC8EF0"/>
    <w:rsid w:val="533D7402"/>
    <w:rsid w:val="53D66ABA"/>
    <w:rsid w:val="541D489E"/>
    <w:rsid w:val="55662D34"/>
    <w:rsid w:val="56189344"/>
    <w:rsid w:val="566C38BD"/>
    <w:rsid w:val="58339E82"/>
    <w:rsid w:val="59D1CE12"/>
    <w:rsid w:val="5A3E444E"/>
    <w:rsid w:val="5A882225"/>
    <w:rsid w:val="5B799558"/>
    <w:rsid w:val="5C7EC4AE"/>
    <w:rsid w:val="5CF093DF"/>
    <w:rsid w:val="5D03D106"/>
    <w:rsid w:val="5D6F5502"/>
    <w:rsid w:val="5E003844"/>
    <w:rsid w:val="5E2678F5"/>
    <w:rsid w:val="5F6AD0FB"/>
    <w:rsid w:val="5FA917AE"/>
    <w:rsid w:val="611B3C8D"/>
    <w:rsid w:val="612E86AA"/>
    <w:rsid w:val="61F8BEBE"/>
    <w:rsid w:val="627AC5DA"/>
    <w:rsid w:val="645C93D9"/>
    <w:rsid w:val="6D8FD6EE"/>
    <w:rsid w:val="708F628E"/>
    <w:rsid w:val="718F69AC"/>
    <w:rsid w:val="71AB173B"/>
    <w:rsid w:val="7214F6A2"/>
    <w:rsid w:val="7248CBFD"/>
    <w:rsid w:val="726CDB85"/>
    <w:rsid w:val="727961BE"/>
    <w:rsid w:val="7421A3FE"/>
    <w:rsid w:val="74BB0A34"/>
    <w:rsid w:val="757420D3"/>
    <w:rsid w:val="757B208B"/>
    <w:rsid w:val="77A0310F"/>
    <w:rsid w:val="782A5799"/>
    <w:rsid w:val="7864EDF6"/>
    <w:rsid w:val="78DB4472"/>
    <w:rsid w:val="7928F686"/>
    <w:rsid w:val="79610E27"/>
    <w:rsid w:val="79A7AA06"/>
    <w:rsid w:val="79A7D02B"/>
    <w:rsid w:val="7A461795"/>
    <w:rsid w:val="7BCDE1CC"/>
    <w:rsid w:val="7D11B5D4"/>
    <w:rsid w:val="7DC0FC70"/>
    <w:rsid w:val="7E74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B216E"/>
  <w15:chartTrackingRefBased/>
  <w15:docId w15:val="{CC2DDE94-067C-4C94-BCA3-C9EC5E80E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D0CF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F3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38C2"/>
    <w:rPr>
      <w:rFonts w:ascii="Segoe UI" w:hAnsi="Segoe UI" w:cs="Segoe UI"/>
      <w:sz w:val="18"/>
      <w:szCs w:val="18"/>
    </w:rPr>
  </w:style>
  <w:style w:type="paragraph" w:styleId="Titre">
    <w:name w:val="Title"/>
    <w:basedOn w:val="Normal"/>
    <w:link w:val="TitreCar"/>
    <w:uiPriority w:val="99"/>
    <w:qFormat/>
    <w:rsid w:val="00563133"/>
    <w:pPr>
      <w:spacing w:before="120" w:after="0" w:line="288" w:lineRule="auto"/>
      <w:ind w:left="-142" w:right="-177"/>
      <w:jc w:val="center"/>
      <w:outlineLvl w:val="0"/>
    </w:pPr>
    <w:rPr>
      <w:rFonts w:ascii="Arial" w:eastAsia="Times New Roman" w:hAnsi="Arial" w:cs="Arial"/>
      <w:b/>
      <w:bCs/>
      <w:color w:val="514B64"/>
      <w:sz w:val="32"/>
      <w:szCs w:val="32"/>
    </w:rPr>
  </w:style>
  <w:style w:type="character" w:customStyle="1" w:styleId="TitreCar">
    <w:name w:val="Titre Car"/>
    <w:basedOn w:val="Policepardfaut"/>
    <w:link w:val="Titre"/>
    <w:uiPriority w:val="99"/>
    <w:rsid w:val="00563133"/>
    <w:rPr>
      <w:rFonts w:ascii="Arial" w:eastAsia="Times New Roman" w:hAnsi="Arial" w:cs="Arial"/>
      <w:b/>
      <w:bCs/>
      <w:color w:val="514B64"/>
      <w:sz w:val="32"/>
      <w:szCs w:val="32"/>
    </w:rPr>
  </w:style>
  <w:style w:type="character" w:styleId="Marquedecommentaire">
    <w:name w:val="annotation reference"/>
    <w:basedOn w:val="Policepardfaut"/>
    <w:uiPriority w:val="99"/>
    <w:semiHidden/>
    <w:unhideWhenUsed/>
    <w:rsid w:val="00F1351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1351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1351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1351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1351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3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18079121F1944BA752688053D6C6B4" ma:contentTypeVersion="5" ma:contentTypeDescription="Crée un document." ma:contentTypeScope="" ma:versionID="3e0ef8af5d8cfe35c347b8b1dc76ea51">
  <xsd:schema xmlns:xsd="http://www.w3.org/2001/XMLSchema" xmlns:xs="http://www.w3.org/2001/XMLSchema" xmlns:p="http://schemas.microsoft.com/office/2006/metadata/properties" xmlns:ns2="401fb9b0-fd1a-45cd-a918-564b700f9989" targetNamespace="http://schemas.microsoft.com/office/2006/metadata/properties" ma:root="true" ma:fieldsID="b884cd23659a58eea8ef75d87cc90440" ns2:_="">
    <xsd:import namespace="401fb9b0-fd1a-45cd-a918-564b700f99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1fb9b0-fd1a-45cd-a918-564b700f99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D8E694-C08E-49E3-8ECF-790ECECEB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1fb9b0-fd1a-45cd-a918-564b700f99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C34F14-3836-4A4C-8FF9-7AD27CC539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776F11-817D-4B4E-A1D9-9DA5CA7EA99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1098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BENSADON</dc:creator>
  <cp:keywords/>
  <dc:description/>
  <cp:lastModifiedBy>Marie-Sophie HERRARD</cp:lastModifiedBy>
  <cp:revision>3</cp:revision>
  <dcterms:created xsi:type="dcterms:W3CDTF">2025-09-18T10:25:00Z</dcterms:created>
  <dcterms:modified xsi:type="dcterms:W3CDTF">2025-09-24T10:01:00Z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0x0101002718079121F1944BA752688053D6C6B4</vt:lpwstr>
  </property>
</Properties>
</file>